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8DD00" w14:textId="77777777" w:rsidR="00A74E98" w:rsidRDefault="00A74E98" w:rsidP="00A74E98">
      <w:pPr>
        <w:pStyle w:val="Heading1"/>
        <w:spacing w:before="98" w:line="269" w:lineRule="exact"/>
        <w:ind w:left="2199" w:right="2184"/>
        <w:jc w:val="center"/>
      </w:pPr>
      <w:r>
        <w:t>Summit Behavioral Health Systems</w:t>
      </w:r>
    </w:p>
    <w:p w14:paraId="21D323F7" w14:textId="77777777" w:rsidR="00A74E98" w:rsidRDefault="00A74E98" w:rsidP="00A74E98">
      <w:pPr>
        <w:pStyle w:val="Heading1"/>
        <w:spacing w:before="98" w:line="269" w:lineRule="exact"/>
        <w:ind w:left="0"/>
        <w:jc w:val="center"/>
      </w:pPr>
      <w:r>
        <w:t xml:space="preserve">Practice Guidelines Dissemination and Implementation </w:t>
      </w:r>
    </w:p>
    <w:p w14:paraId="3C1781D7" w14:textId="77777777" w:rsidR="00A74E98" w:rsidRPr="00A74E98" w:rsidRDefault="00A74E98" w:rsidP="00A74E98">
      <w:pPr>
        <w:rPr>
          <w:rFonts w:ascii="Century Gothic" w:hAnsi="Century Gothic"/>
        </w:rPr>
      </w:pPr>
    </w:p>
    <w:p w14:paraId="6CDCD70A" w14:textId="77777777" w:rsidR="00A74E98" w:rsidRPr="00A74E98" w:rsidRDefault="00A74E98" w:rsidP="00A74E98">
      <w:pPr>
        <w:spacing w:after="0"/>
        <w:rPr>
          <w:rFonts w:ascii="Century Gothic" w:hAnsi="Century Gothic"/>
        </w:rPr>
      </w:pPr>
      <w:r w:rsidRPr="00A74E98">
        <w:rPr>
          <w:rFonts w:ascii="Century Gothic" w:hAnsi="Century Gothic"/>
        </w:rPr>
        <w:t>SBH has determined the most prevalent diagnoses in the region for both Substance Use Disorders and Mental Health Disorders. This was accomplished through a review of available data and discussion with SBH-contracted providers and agency medical director. The Utilization Management/Care Coordination committees researched available practice guidelines for the target diagnoses. SBH prepared summaries of the relevant practice guidelines, including target populations and main treatment recommendations for each guideline. Summaries included quality measures that will be used to determine compliance with the practice guidelines. The final four summaries were presented to Clinical Leadership, during the year end Quality Improvement Committee Meeting.</w:t>
      </w:r>
    </w:p>
    <w:p w14:paraId="6F3294D7" w14:textId="77777777" w:rsidR="00A74E98" w:rsidRPr="00A74E98" w:rsidRDefault="00A74E98" w:rsidP="00A74E98">
      <w:pPr>
        <w:spacing w:after="0"/>
        <w:rPr>
          <w:rFonts w:ascii="Century Gothic" w:hAnsi="Century Gothic"/>
        </w:rPr>
      </w:pPr>
    </w:p>
    <w:p w14:paraId="0284DFD7" w14:textId="29ABD03F" w:rsidR="00A74E98" w:rsidRPr="00A74E98" w:rsidRDefault="00A74E98" w:rsidP="00A74E98">
      <w:pPr>
        <w:spacing w:after="0"/>
        <w:rPr>
          <w:rFonts w:ascii="Century Gothic" w:hAnsi="Century Gothic"/>
        </w:rPr>
      </w:pPr>
      <w:r w:rsidRPr="00A74E98">
        <w:rPr>
          <w:rFonts w:ascii="Century Gothic" w:hAnsi="Century Gothic"/>
        </w:rPr>
        <w:t xml:space="preserve">The </w:t>
      </w:r>
      <w:r>
        <w:rPr>
          <w:rFonts w:ascii="Century Gothic" w:hAnsi="Century Gothic"/>
        </w:rPr>
        <w:t>three</w:t>
      </w:r>
      <w:r w:rsidRPr="00A74E98">
        <w:rPr>
          <w:rFonts w:ascii="Century Gothic" w:hAnsi="Century Gothic"/>
        </w:rPr>
        <w:t xml:space="preserve"> selected practice guidelines include:</w:t>
      </w:r>
    </w:p>
    <w:p w14:paraId="3E8BE597" w14:textId="77777777" w:rsidR="00A74E98" w:rsidRPr="00A74E98" w:rsidRDefault="00A74E98" w:rsidP="00A74E98">
      <w:pPr>
        <w:spacing w:after="0"/>
        <w:rPr>
          <w:rFonts w:ascii="Century Gothic" w:hAnsi="Century Gothic"/>
        </w:rPr>
      </w:pPr>
      <w:r w:rsidRPr="00A74E98">
        <w:rPr>
          <w:rFonts w:ascii="Century Gothic" w:hAnsi="Century Gothic"/>
        </w:rPr>
        <w:t>•</w:t>
      </w:r>
      <w:r w:rsidRPr="00A74E98">
        <w:rPr>
          <w:rFonts w:ascii="Century Gothic" w:hAnsi="Century Gothic"/>
        </w:rPr>
        <w:tab/>
        <w:t>Opiate-related SUD Disorders – Adults</w:t>
      </w:r>
    </w:p>
    <w:p w14:paraId="17F3AB53" w14:textId="77777777" w:rsidR="00A74E98" w:rsidRPr="00A74E98" w:rsidRDefault="00A74E98" w:rsidP="00A74E98">
      <w:pPr>
        <w:spacing w:after="0"/>
        <w:rPr>
          <w:rFonts w:ascii="Century Gothic" w:hAnsi="Century Gothic"/>
        </w:rPr>
      </w:pPr>
      <w:r w:rsidRPr="00A74E98">
        <w:rPr>
          <w:rFonts w:ascii="Century Gothic" w:hAnsi="Century Gothic"/>
        </w:rPr>
        <w:t>•</w:t>
      </w:r>
      <w:r w:rsidRPr="00A74E98">
        <w:rPr>
          <w:rFonts w:ascii="Century Gothic" w:hAnsi="Century Gothic"/>
        </w:rPr>
        <w:tab/>
        <w:t>Posttraumatic Stress Disorder – Youth</w:t>
      </w:r>
    </w:p>
    <w:p w14:paraId="7A0054FB" w14:textId="77777777" w:rsidR="00A74E98" w:rsidRPr="00A74E98" w:rsidRDefault="00A74E98" w:rsidP="00A74E98">
      <w:pPr>
        <w:spacing w:after="0"/>
        <w:rPr>
          <w:rFonts w:ascii="Century Gothic" w:hAnsi="Century Gothic"/>
        </w:rPr>
      </w:pPr>
      <w:r w:rsidRPr="00A74E98">
        <w:rPr>
          <w:rFonts w:ascii="Century Gothic" w:hAnsi="Century Gothic"/>
        </w:rPr>
        <w:t>•</w:t>
      </w:r>
      <w:r w:rsidRPr="00A74E98">
        <w:rPr>
          <w:rFonts w:ascii="Century Gothic" w:hAnsi="Century Gothic"/>
        </w:rPr>
        <w:tab/>
        <w:t>Major Depressive Disorder – Adults</w:t>
      </w:r>
    </w:p>
    <w:p w14:paraId="79C92C79" w14:textId="77777777" w:rsidR="00A74E98" w:rsidRPr="00A74E98" w:rsidRDefault="00A74E98" w:rsidP="00A74E98">
      <w:pPr>
        <w:spacing w:after="0"/>
        <w:rPr>
          <w:rFonts w:ascii="Century Gothic" w:hAnsi="Century Gothic"/>
        </w:rPr>
      </w:pPr>
    </w:p>
    <w:p w14:paraId="35BC1193" w14:textId="7F807C96" w:rsidR="00A74E98" w:rsidRPr="00A74E98" w:rsidRDefault="00A74E98" w:rsidP="00A74E98">
      <w:pPr>
        <w:spacing w:after="0"/>
        <w:rPr>
          <w:rFonts w:ascii="Century Gothic" w:hAnsi="Century Gothic"/>
        </w:rPr>
      </w:pPr>
      <w:r w:rsidRPr="00A74E98">
        <w:rPr>
          <w:rFonts w:ascii="Century Gothic" w:hAnsi="Century Gothic"/>
        </w:rPr>
        <w:t xml:space="preserve">The Quality Improvement committee was presented with the three practice guideline summaries, provided feedback, and expressed support of the selected practice guidelines. Guidelines shall be </w:t>
      </w:r>
      <w:r w:rsidRPr="00A74E98">
        <w:rPr>
          <w:rFonts w:ascii="Century Gothic" w:hAnsi="Century Gothic"/>
        </w:rPr>
        <w:t>reviewed and</w:t>
      </w:r>
      <w:r w:rsidRPr="00A74E98">
        <w:rPr>
          <w:rFonts w:ascii="Century Gothic" w:hAnsi="Century Gothic"/>
        </w:rPr>
        <w:t xml:space="preserve"> updated every two years or as new information on the diagnoses becomes available. </w:t>
      </w:r>
    </w:p>
    <w:p w14:paraId="0AFAF25F" w14:textId="77777777" w:rsidR="00A74E98" w:rsidRPr="00A74E98" w:rsidRDefault="00A74E98" w:rsidP="00A74E98">
      <w:pPr>
        <w:spacing w:after="0"/>
        <w:rPr>
          <w:rFonts w:ascii="Century Gothic" w:hAnsi="Century Gothic"/>
        </w:rPr>
      </w:pPr>
    </w:p>
    <w:p w14:paraId="5830E24E" w14:textId="77777777" w:rsidR="00A74E98" w:rsidRPr="00A74E98" w:rsidRDefault="00A74E98" w:rsidP="00A74E98">
      <w:pPr>
        <w:spacing w:after="0"/>
        <w:rPr>
          <w:rFonts w:ascii="Century Gothic" w:hAnsi="Century Gothic"/>
        </w:rPr>
      </w:pPr>
      <w:r w:rsidRPr="00A74E98">
        <w:rPr>
          <w:rFonts w:ascii="Century Gothic" w:hAnsi="Century Gothic"/>
        </w:rPr>
        <w:t>Following the selection, dissemination through the SBH website, provider manual and additional training will take place. The UM committee will then work with the Quality Improvement committee in measuring compliance to the guidelines using identified quality measures.</w:t>
      </w:r>
    </w:p>
    <w:p w14:paraId="3013724A" w14:textId="12DF5D98" w:rsidR="00A74E98" w:rsidRDefault="00A74E98">
      <w:r>
        <w:br w:type="page"/>
      </w:r>
    </w:p>
    <w:p w14:paraId="24865210" w14:textId="77777777" w:rsidR="00A74E98" w:rsidRPr="00A74E98" w:rsidRDefault="00A74E98" w:rsidP="00A74E98">
      <w:pPr>
        <w:jc w:val="center"/>
        <w:rPr>
          <w:rFonts w:ascii="Century Gothic" w:hAnsi="Century Gothic"/>
          <w:b/>
          <w:bCs/>
          <w:u w:val="single"/>
        </w:rPr>
      </w:pPr>
      <w:r w:rsidRPr="00A74E98">
        <w:rPr>
          <w:rFonts w:ascii="Century Gothic" w:hAnsi="Century Gothic"/>
          <w:b/>
          <w:bCs/>
          <w:u w:val="single"/>
        </w:rPr>
        <w:lastRenderedPageBreak/>
        <w:t>SBH Practice Guideline Summary: Treatment of Opiate-related SUD Disorders</w:t>
      </w:r>
    </w:p>
    <w:p w14:paraId="36441D49" w14:textId="70C40AA6" w:rsidR="00A74E98" w:rsidRDefault="00A74E98" w:rsidP="00A74E98">
      <w:pPr>
        <w:spacing w:after="0"/>
        <w:rPr>
          <w:rFonts w:ascii="Century Gothic" w:hAnsi="Century Gothic"/>
        </w:rPr>
      </w:pPr>
      <w:r w:rsidRPr="00A74E98">
        <w:rPr>
          <w:rFonts w:ascii="Century Gothic" w:hAnsi="Century Gothic"/>
          <w:b/>
          <w:bCs/>
        </w:rPr>
        <w:t>Practice Guideline Title and Associated Organization</w:t>
      </w:r>
      <w:r w:rsidRPr="00A74E98">
        <w:rPr>
          <w:rFonts w:ascii="Century Gothic" w:hAnsi="Century Gothic"/>
        </w:rPr>
        <w:t>: Treating Adult Opioid Use Disorder</w:t>
      </w:r>
    </w:p>
    <w:p w14:paraId="2BD9771F" w14:textId="77777777" w:rsidR="00A74E98" w:rsidRPr="00A74E98" w:rsidRDefault="00A74E98" w:rsidP="00A74E98">
      <w:pPr>
        <w:spacing w:after="0"/>
        <w:rPr>
          <w:rFonts w:ascii="Century Gothic" w:hAnsi="Century Gothic"/>
        </w:rPr>
      </w:pPr>
    </w:p>
    <w:p w14:paraId="7FDE81C6" w14:textId="50BB9AA1" w:rsidR="00A74E98" w:rsidRDefault="00A74E98" w:rsidP="00A74E98">
      <w:pPr>
        <w:spacing w:after="0"/>
        <w:rPr>
          <w:rFonts w:ascii="Century Gothic" w:hAnsi="Century Gothic"/>
        </w:rPr>
      </w:pPr>
      <w:r w:rsidRPr="00A74E98">
        <w:rPr>
          <w:rFonts w:ascii="Century Gothic" w:hAnsi="Century Gothic"/>
          <w:b/>
          <w:bCs/>
        </w:rPr>
        <w:t>Target Population</w:t>
      </w:r>
      <w:r w:rsidRPr="00A74E98">
        <w:rPr>
          <w:rFonts w:ascii="Century Gothic" w:hAnsi="Century Gothic"/>
        </w:rPr>
        <w:t>: Adults diagnosed with Opioid Use Disorder</w:t>
      </w:r>
    </w:p>
    <w:p w14:paraId="4827FF6F" w14:textId="77777777" w:rsidR="00A74E98" w:rsidRPr="00A74E98" w:rsidRDefault="00A74E98" w:rsidP="00A74E98">
      <w:pPr>
        <w:spacing w:after="0"/>
        <w:rPr>
          <w:rFonts w:ascii="Century Gothic" w:hAnsi="Century Gothic"/>
        </w:rPr>
      </w:pPr>
    </w:p>
    <w:p w14:paraId="3AD0DAAA" w14:textId="43465431" w:rsidR="00A74E98" w:rsidRPr="00A74E98" w:rsidRDefault="00A74E98" w:rsidP="00A74E98">
      <w:pPr>
        <w:spacing w:after="0"/>
        <w:rPr>
          <w:rFonts w:ascii="Century Gothic" w:hAnsi="Century Gothic"/>
          <w:b/>
          <w:bCs/>
        </w:rPr>
      </w:pPr>
      <w:r w:rsidRPr="00A74E98">
        <w:rPr>
          <w:rFonts w:ascii="Century Gothic" w:hAnsi="Century Gothic"/>
          <w:b/>
          <w:bCs/>
        </w:rPr>
        <w:t>General Recommendations:</w:t>
      </w:r>
      <w:r>
        <w:rPr>
          <w:rFonts w:ascii="Century Gothic" w:hAnsi="Century Gothic"/>
          <w:b/>
          <w:bCs/>
        </w:rPr>
        <w:br/>
      </w:r>
    </w:p>
    <w:p w14:paraId="79618D29" w14:textId="457698F2"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Develop and maintain a therapeutic alliance</w:t>
      </w:r>
    </w:p>
    <w:p w14:paraId="2E716332" w14:textId="47B8925F"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Utilize motivational interviewing skills</w:t>
      </w:r>
    </w:p>
    <w:p w14:paraId="4EF72E09" w14:textId="79128393"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Choice of available treatment options should be a shared decision between clinician and patient</w:t>
      </w:r>
    </w:p>
    <w:p w14:paraId="7BADE3EF" w14:textId="1EE2CC2E"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Address initial withdrawal management options</w:t>
      </w:r>
    </w:p>
    <w:p w14:paraId="590E51C4" w14:textId="436F8D8F"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Assess and address special population issues, i.e.- pregnant women, HIV, Hepatitis, individuals with pain management issues, co-occurring disorders</w:t>
      </w:r>
    </w:p>
    <w:p w14:paraId="1563B57B" w14:textId="0EEB8AA5"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Urine Drug screens</w:t>
      </w:r>
      <w:bookmarkStart w:id="0" w:name="_GoBack"/>
      <w:bookmarkEnd w:id="0"/>
    </w:p>
    <w:p w14:paraId="2D35EB07" w14:textId="15D7A304"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Ongoing relapse prevention</w:t>
      </w:r>
    </w:p>
    <w:p w14:paraId="08863FFE" w14:textId="0CE3CACE"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Trauma-informed service approach</w:t>
      </w:r>
    </w:p>
    <w:p w14:paraId="21519B96" w14:textId="214E0CBF"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Education regarding self-medicating</w:t>
      </w:r>
    </w:p>
    <w:p w14:paraId="52CA98B1" w14:textId="58CA348E"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Coordinate medical care and psychosocial treatment</w:t>
      </w:r>
    </w:p>
    <w:p w14:paraId="415097EA" w14:textId="524AFB5F"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Evaluate safety</w:t>
      </w:r>
    </w:p>
    <w:p w14:paraId="4BE0CF23" w14:textId="39A4F9DD"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Address co-morbidity</w:t>
      </w:r>
    </w:p>
    <w:p w14:paraId="0A775779" w14:textId="21FFC12A"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Involve social supports</w:t>
      </w:r>
    </w:p>
    <w:p w14:paraId="1F6363B3" w14:textId="77777777" w:rsidR="00A74E98" w:rsidRPr="00A74E98" w:rsidRDefault="00A74E98" w:rsidP="00A74E98">
      <w:pPr>
        <w:spacing w:after="0"/>
        <w:rPr>
          <w:rFonts w:ascii="Century Gothic" w:hAnsi="Century Gothic"/>
        </w:rPr>
      </w:pPr>
    </w:p>
    <w:p w14:paraId="42F479FB" w14:textId="77777777" w:rsidR="00A74E98" w:rsidRPr="00A74E98" w:rsidRDefault="00A74E98" w:rsidP="00A74E98">
      <w:pPr>
        <w:spacing w:after="0"/>
        <w:rPr>
          <w:rFonts w:ascii="Century Gothic" w:hAnsi="Century Gothic"/>
          <w:b/>
          <w:bCs/>
          <w:u w:val="single"/>
        </w:rPr>
      </w:pPr>
      <w:r w:rsidRPr="00A74E98">
        <w:rPr>
          <w:rFonts w:ascii="Century Gothic" w:hAnsi="Century Gothic"/>
          <w:b/>
          <w:bCs/>
          <w:u w:val="single"/>
        </w:rPr>
        <w:t>Initial Treatment:</w:t>
      </w:r>
    </w:p>
    <w:p w14:paraId="37F8759D" w14:textId="77777777" w:rsidR="00A74E98" w:rsidRPr="00A74E98" w:rsidRDefault="00A74E98" w:rsidP="00A74E98">
      <w:pPr>
        <w:spacing w:after="0"/>
        <w:rPr>
          <w:rFonts w:ascii="Century Gothic" w:hAnsi="Century Gothic"/>
        </w:rPr>
      </w:pPr>
    </w:p>
    <w:p w14:paraId="51C4E34C" w14:textId="76A21681" w:rsidR="00A74E98" w:rsidRPr="00A74E98" w:rsidRDefault="00A74E98" w:rsidP="00A74E98">
      <w:pPr>
        <w:spacing w:after="0"/>
        <w:rPr>
          <w:rFonts w:ascii="Century Gothic" w:hAnsi="Century Gothic"/>
          <w:b/>
          <w:bCs/>
        </w:rPr>
      </w:pPr>
      <w:r w:rsidRPr="00A74E98">
        <w:rPr>
          <w:rFonts w:ascii="Century Gothic" w:hAnsi="Century Gothic"/>
          <w:b/>
          <w:bCs/>
        </w:rPr>
        <w:t>Medication assisted treatment options</w:t>
      </w:r>
      <w:r w:rsidRPr="00A74E98">
        <w:rPr>
          <w:rFonts w:ascii="Century Gothic" w:hAnsi="Century Gothic"/>
          <w:b/>
          <w:bCs/>
        </w:rPr>
        <w:br/>
      </w:r>
    </w:p>
    <w:p w14:paraId="0950BD98" w14:textId="55C0877D" w:rsidR="00A74E98" w:rsidRPr="00A74E98" w:rsidRDefault="00A74E98" w:rsidP="00A74E98">
      <w:pPr>
        <w:pStyle w:val="ListParagraph"/>
        <w:numPr>
          <w:ilvl w:val="0"/>
          <w:numId w:val="1"/>
        </w:numPr>
        <w:spacing w:after="0"/>
        <w:rPr>
          <w:rFonts w:ascii="Century Gothic" w:hAnsi="Century Gothic"/>
        </w:rPr>
      </w:pPr>
      <w:r w:rsidRPr="00A74E98">
        <w:rPr>
          <w:rFonts w:ascii="Century Gothic" w:hAnsi="Century Gothic"/>
        </w:rPr>
        <w:t>B</w:t>
      </w:r>
      <w:r w:rsidRPr="00A74E98">
        <w:rPr>
          <w:rFonts w:ascii="Century Gothic" w:hAnsi="Century Gothic"/>
        </w:rPr>
        <w:t>uprenorphine, Office based opioid treatment (OBOT) or in (OTP)</w:t>
      </w:r>
    </w:p>
    <w:p w14:paraId="798621AB" w14:textId="5701033B" w:rsidR="00A74E98" w:rsidRPr="00A74E98" w:rsidRDefault="00A74E98" w:rsidP="00A74E98">
      <w:pPr>
        <w:pStyle w:val="ListParagraph"/>
        <w:numPr>
          <w:ilvl w:val="0"/>
          <w:numId w:val="1"/>
        </w:numPr>
        <w:spacing w:after="0"/>
        <w:rPr>
          <w:rFonts w:ascii="Century Gothic" w:hAnsi="Century Gothic"/>
        </w:rPr>
      </w:pPr>
      <w:r w:rsidRPr="00A74E98">
        <w:rPr>
          <w:rFonts w:ascii="Century Gothic" w:hAnsi="Century Gothic"/>
        </w:rPr>
        <w:t>Methadone, Opioid treatment program (OTP)</w:t>
      </w:r>
    </w:p>
    <w:p w14:paraId="29C698D4" w14:textId="77C225C5" w:rsidR="00A74E98" w:rsidRPr="00A74E98" w:rsidRDefault="00A74E98" w:rsidP="00A74E98">
      <w:pPr>
        <w:pStyle w:val="ListParagraph"/>
        <w:numPr>
          <w:ilvl w:val="0"/>
          <w:numId w:val="1"/>
        </w:numPr>
        <w:spacing w:after="0"/>
        <w:rPr>
          <w:rFonts w:ascii="Century Gothic" w:hAnsi="Century Gothic"/>
        </w:rPr>
      </w:pPr>
      <w:r w:rsidRPr="00A74E98">
        <w:rPr>
          <w:rFonts w:ascii="Century Gothic" w:hAnsi="Century Gothic"/>
        </w:rPr>
        <w:t>Naltrexone (opioid antagonist therapy)</w:t>
      </w:r>
    </w:p>
    <w:p w14:paraId="42E1D2A9" w14:textId="77777777" w:rsidR="00A74E98" w:rsidRPr="00A74E98" w:rsidRDefault="00A74E98" w:rsidP="00A74E98">
      <w:pPr>
        <w:spacing w:after="0"/>
        <w:rPr>
          <w:rFonts w:ascii="Century Gothic" w:hAnsi="Century Gothic"/>
        </w:rPr>
      </w:pPr>
    </w:p>
    <w:p w14:paraId="6C5B6878" w14:textId="46CE6268" w:rsidR="00A74E98" w:rsidRPr="00A74E98" w:rsidRDefault="00A74E98" w:rsidP="00A74E98">
      <w:pPr>
        <w:spacing w:after="0"/>
        <w:rPr>
          <w:rFonts w:ascii="Century Gothic" w:hAnsi="Century Gothic"/>
          <w:b/>
          <w:bCs/>
        </w:rPr>
      </w:pPr>
      <w:r w:rsidRPr="00A74E98">
        <w:rPr>
          <w:rFonts w:ascii="Century Gothic" w:hAnsi="Century Gothic"/>
          <w:b/>
          <w:bCs/>
        </w:rPr>
        <w:t>Psychosocial Treatment</w:t>
      </w:r>
      <w:r w:rsidRPr="00A74E98">
        <w:rPr>
          <w:rFonts w:ascii="Century Gothic" w:hAnsi="Century Gothic"/>
          <w:b/>
          <w:bCs/>
        </w:rPr>
        <w:br/>
      </w:r>
    </w:p>
    <w:p w14:paraId="09C3C3F3" w14:textId="3EC4D037" w:rsidR="00A74E98" w:rsidRPr="00A74E98" w:rsidRDefault="00A74E98" w:rsidP="00A74E98">
      <w:pPr>
        <w:pStyle w:val="ListParagraph"/>
        <w:numPr>
          <w:ilvl w:val="0"/>
          <w:numId w:val="2"/>
        </w:numPr>
        <w:spacing w:after="0"/>
        <w:rPr>
          <w:rFonts w:ascii="Century Gothic" w:hAnsi="Century Gothic"/>
        </w:rPr>
      </w:pPr>
      <w:r w:rsidRPr="00A74E98">
        <w:rPr>
          <w:rFonts w:ascii="Century Gothic" w:hAnsi="Century Gothic"/>
        </w:rPr>
        <w:t>Cognitive-Behavioral therapy</w:t>
      </w:r>
    </w:p>
    <w:p w14:paraId="3640FA99" w14:textId="568E1508" w:rsidR="00A74E98" w:rsidRPr="00A74E98" w:rsidRDefault="00A74E98" w:rsidP="00A74E98">
      <w:pPr>
        <w:pStyle w:val="ListParagraph"/>
        <w:numPr>
          <w:ilvl w:val="0"/>
          <w:numId w:val="2"/>
        </w:numPr>
        <w:spacing w:after="0"/>
        <w:rPr>
          <w:rFonts w:ascii="Century Gothic" w:hAnsi="Century Gothic"/>
        </w:rPr>
      </w:pPr>
      <w:r w:rsidRPr="00A74E98">
        <w:rPr>
          <w:rFonts w:ascii="Century Gothic" w:hAnsi="Century Gothic"/>
        </w:rPr>
        <w:t>Contingency management</w:t>
      </w:r>
    </w:p>
    <w:p w14:paraId="75DA97B2" w14:textId="0EB8E06B" w:rsidR="00A74E98" w:rsidRPr="00A74E98" w:rsidRDefault="00A74E98" w:rsidP="00A74E98">
      <w:pPr>
        <w:pStyle w:val="ListParagraph"/>
        <w:numPr>
          <w:ilvl w:val="0"/>
          <w:numId w:val="2"/>
        </w:numPr>
        <w:spacing w:after="0"/>
        <w:rPr>
          <w:rFonts w:ascii="Century Gothic" w:hAnsi="Century Gothic"/>
        </w:rPr>
      </w:pPr>
      <w:r w:rsidRPr="00A74E98">
        <w:rPr>
          <w:rFonts w:ascii="Century Gothic" w:hAnsi="Century Gothic"/>
        </w:rPr>
        <w:t>12-step facilitation therapy</w:t>
      </w:r>
    </w:p>
    <w:p w14:paraId="5DFA78E1" w14:textId="6744B99F" w:rsidR="00A74E98" w:rsidRPr="00A74E98" w:rsidRDefault="00A74E98" w:rsidP="00A74E98">
      <w:pPr>
        <w:pStyle w:val="ListParagraph"/>
        <w:numPr>
          <w:ilvl w:val="0"/>
          <w:numId w:val="2"/>
        </w:numPr>
        <w:spacing w:after="0"/>
        <w:rPr>
          <w:rFonts w:ascii="Century Gothic" w:hAnsi="Century Gothic"/>
        </w:rPr>
      </w:pPr>
      <w:r w:rsidRPr="00A74E98">
        <w:rPr>
          <w:rFonts w:ascii="Century Gothic" w:hAnsi="Century Gothic"/>
        </w:rPr>
        <w:t>Motivational Enhancement Therapy</w:t>
      </w:r>
    </w:p>
    <w:p w14:paraId="6CFC3B42" w14:textId="77777777" w:rsidR="00A74E98" w:rsidRPr="00A74E98" w:rsidRDefault="00A74E98" w:rsidP="00A74E98">
      <w:pPr>
        <w:spacing w:after="0"/>
        <w:rPr>
          <w:rFonts w:ascii="Century Gothic" w:hAnsi="Century Gothic"/>
        </w:rPr>
      </w:pPr>
    </w:p>
    <w:p w14:paraId="237A45EB" w14:textId="736D6526" w:rsidR="00A74E98" w:rsidRPr="00A74E98" w:rsidRDefault="00A74E98" w:rsidP="00A74E98">
      <w:pPr>
        <w:spacing w:after="0"/>
        <w:rPr>
          <w:rFonts w:ascii="Century Gothic" w:hAnsi="Century Gothic"/>
          <w:b/>
          <w:bCs/>
        </w:rPr>
      </w:pPr>
      <w:r w:rsidRPr="00A74E98">
        <w:rPr>
          <w:rFonts w:ascii="Century Gothic" w:hAnsi="Century Gothic"/>
          <w:b/>
          <w:bCs/>
        </w:rPr>
        <w:t>Evaluating Response to Treatment:</w:t>
      </w:r>
      <w:r w:rsidRPr="00A74E98">
        <w:rPr>
          <w:rFonts w:ascii="Century Gothic" w:hAnsi="Century Gothic"/>
          <w:b/>
          <w:bCs/>
        </w:rPr>
        <w:br/>
      </w:r>
    </w:p>
    <w:p w14:paraId="24D9146D" w14:textId="421C3AB4" w:rsidR="00A74E98" w:rsidRPr="00A74E98" w:rsidRDefault="00A74E98" w:rsidP="00A74E98">
      <w:pPr>
        <w:pStyle w:val="ListParagraph"/>
        <w:numPr>
          <w:ilvl w:val="0"/>
          <w:numId w:val="4"/>
        </w:numPr>
        <w:spacing w:after="0"/>
        <w:rPr>
          <w:rFonts w:ascii="Century Gothic" w:hAnsi="Century Gothic"/>
        </w:rPr>
      </w:pPr>
      <w:r w:rsidRPr="00A74E98">
        <w:rPr>
          <w:rFonts w:ascii="Century Gothic" w:hAnsi="Century Gothic"/>
        </w:rPr>
        <w:t>Assess progress toward mutually agreed upon, measurable goals</w:t>
      </w:r>
    </w:p>
    <w:p w14:paraId="36F15B16" w14:textId="6AA983AD" w:rsidR="00A74E98" w:rsidRPr="00A74E98" w:rsidRDefault="00A74E98" w:rsidP="00A74E98">
      <w:pPr>
        <w:pStyle w:val="ListParagraph"/>
        <w:numPr>
          <w:ilvl w:val="0"/>
          <w:numId w:val="4"/>
        </w:numPr>
        <w:spacing w:after="0"/>
        <w:rPr>
          <w:rFonts w:ascii="Century Gothic" w:hAnsi="Century Gothic"/>
        </w:rPr>
      </w:pPr>
      <w:r w:rsidRPr="00A74E98">
        <w:rPr>
          <w:rFonts w:ascii="Century Gothic" w:hAnsi="Century Gothic"/>
        </w:rPr>
        <w:t>If it is determined that the client is not making progress toward agreed-upon goals, reassess the diagnosis, treatment modalities, treatment intensity and treatment goals in</w:t>
      </w:r>
      <w:r w:rsidRPr="00A74E98">
        <w:rPr>
          <w:rFonts w:ascii="Century Gothic" w:hAnsi="Century Gothic"/>
        </w:rPr>
        <w:t xml:space="preserve"> </w:t>
      </w:r>
      <w:r w:rsidRPr="00A74E98">
        <w:rPr>
          <w:rFonts w:ascii="Century Gothic" w:hAnsi="Century Gothic"/>
        </w:rPr>
        <w:t>order to revise the treatment plan</w:t>
      </w:r>
    </w:p>
    <w:p w14:paraId="0CCD7159" w14:textId="7C18A30E" w:rsidR="00A74E98" w:rsidRPr="00A74E98" w:rsidRDefault="00A74E98" w:rsidP="00A74E98">
      <w:pPr>
        <w:spacing w:after="0"/>
        <w:rPr>
          <w:rFonts w:ascii="Century Gothic" w:hAnsi="Century Gothic"/>
          <w:b/>
          <w:bCs/>
        </w:rPr>
      </w:pPr>
      <w:r w:rsidRPr="00A74E98">
        <w:rPr>
          <w:rFonts w:ascii="Century Gothic" w:hAnsi="Century Gothic"/>
          <w:b/>
          <w:bCs/>
        </w:rPr>
        <w:lastRenderedPageBreak/>
        <w:t xml:space="preserve"> Continuation Phase of Treatment:</w:t>
      </w:r>
      <w:r w:rsidRPr="00A74E98">
        <w:rPr>
          <w:rFonts w:ascii="Century Gothic" w:hAnsi="Century Gothic"/>
          <w:b/>
          <w:bCs/>
        </w:rPr>
        <w:br/>
      </w:r>
    </w:p>
    <w:p w14:paraId="40822AE4" w14:textId="4EADC405" w:rsidR="00A74E98" w:rsidRPr="00A74E98" w:rsidRDefault="00A74E98" w:rsidP="00A74E98">
      <w:pPr>
        <w:pStyle w:val="ListParagraph"/>
        <w:numPr>
          <w:ilvl w:val="0"/>
          <w:numId w:val="5"/>
        </w:numPr>
        <w:spacing w:after="0"/>
        <w:rPr>
          <w:rFonts w:ascii="Century Gothic" w:hAnsi="Century Gothic"/>
        </w:rPr>
      </w:pPr>
      <w:r w:rsidRPr="00A74E98">
        <w:rPr>
          <w:rFonts w:ascii="Century Gothic" w:hAnsi="Century Gothic"/>
        </w:rPr>
        <w:t>Monitor for signs, symptoms of relapse</w:t>
      </w:r>
    </w:p>
    <w:p w14:paraId="5CB43236" w14:textId="4028F51E" w:rsidR="00A74E98" w:rsidRPr="00A74E98" w:rsidRDefault="00A74E98" w:rsidP="00A74E98">
      <w:pPr>
        <w:pStyle w:val="ListParagraph"/>
        <w:numPr>
          <w:ilvl w:val="0"/>
          <w:numId w:val="5"/>
        </w:numPr>
        <w:spacing w:after="0"/>
        <w:rPr>
          <w:rFonts w:ascii="Century Gothic" w:hAnsi="Century Gothic"/>
        </w:rPr>
      </w:pPr>
      <w:r w:rsidRPr="00A74E98">
        <w:rPr>
          <w:rFonts w:ascii="Century Gothic" w:hAnsi="Century Gothic"/>
        </w:rPr>
        <w:t>Reduce risk of ongoing use or return to use</w:t>
      </w:r>
    </w:p>
    <w:p w14:paraId="07F7231A" w14:textId="5ECE53CF" w:rsidR="00A74E98" w:rsidRPr="00A74E98" w:rsidRDefault="00A74E98" w:rsidP="00A74E98">
      <w:pPr>
        <w:pStyle w:val="ListParagraph"/>
        <w:numPr>
          <w:ilvl w:val="0"/>
          <w:numId w:val="5"/>
        </w:numPr>
        <w:spacing w:after="0"/>
        <w:rPr>
          <w:rFonts w:ascii="Century Gothic" w:hAnsi="Century Gothic"/>
        </w:rPr>
      </w:pPr>
      <w:r w:rsidRPr="00A74E98">
        <w:rPr>
          <w:rFonts w:ascii="Century Gothic" w:hAnsi="Century Gothic"/>
        </w:rPr>
        <w:t>Assess for level of care appropriateness</w:t>
      </w:r>
    </w:p>
    <w:p w14:paraId="2F0A5BFC" w14:textId="31BF8CDE" w:rsidR="00A74E98" w:rsidRPr="00A74E98" w:rsidRDefault="00A74E98" w:rsidP="00A74E98">
      <w:pPr>
        <w:pStyle w:val="ListParagraph"/>
        <w:numPr>
          <w:ilvl w:val="0"/>
          <w:numId w:val="5"/>
        </w:numPr>
        <w:spacing w:after="0"/>
        <w:rPr>
          <w:rFonts w:ascii="Century Gothic" w:hAnsi="Century Gothic"/>
        </w:rPr>
      </w:pPr>
      <w:r w:rsidRPr="00A74E98">
        <w:rPr>
          <w:rFonts w:ascii="Century Gothic" w:hAnsi="Century Gothic"/>
        </w:rPr>
        <w:t>Continue to evaluate medication levels if in a medication assisted treatment</w:t>
      </w:r>
    </w:p>
    <w:p w14:paraId="3B77AD96" w14:textId="77777777" w:rsidR="00A74E98" w:rsidRPr="00A74E98" w:rsidRDefault="00A74E98" w:rsidP="00A74E98">
      <w:pPr>
        <w:spacing w:after="0"/>
        <w:rPr>
          <w:rFonts w:ascii="Century Gothic" w:hAnsi="Century Gothic"/>
        </w:rPr>
      </w:pPr>
    </w:p>
    <w:p w14:paraId="794B2190" w14:textId="0DFFE874" w:rsidR="00A74E98" w:rsidRPr="00A74E98" w:rsidRDefault="00A74E98" w:rsidP="00A74E98">
      <w:pPr>
        <w:spacing w:after="0"/>
        <w:rPr>
          <w:rFonts w:ascii="Century Gothic" w:hAnsi="Century Gothic"/>
          <w:b/>
          <w:bCs/>
        </w:rPr>
      </w:pPr>
      <w:r w:rsidRPr="00A74E98">
        <w:rPr>
          <w:rFonts w:ascii="Century Gothic" w:hAnsi="Century Gothic"/>
          <w:b/>
          <w:bCs/>
        </w:rPr>
        <w:t>Discontinuation of Treatment:</w:t>
      </w:r>
      <w:r w:rsidRPr="00A74E98">
        <w:rPr>
          <w:rFonts w:ascii="Century Gothic" w:hAnsi="Century Gothic"/>
          <w:b/>
          <w:bCs/>
        </w:rPr>
        <w:br/>
      </w:r>
    </w:p>
    <w:p w14:paraId="52539BDB" w14:textId="2809323D" w:rsidR="00A74E98" w:rsidRPr="00A74E98" w:rsidRDefault="00A74E98" w:rsidP="00A74E98">
      <w:pPr>
        <w:pStyle w:val="ListParagraph"/>
        <w:numPr>
          <w:ilvl w:val="0"/>
          <w:numId w:val="6"/>
        </w:numPr>
        <w:spacing w:after="0"/>
        <w:rPr>
          <w:rFonts w:ascii="Century Gothic" w:hAnsi="Century Gothic"/>
        </w:rPr>
      </w:pPr>
      <w:r w:rsidRPr="00A74E98">
        <w:rPr>
          <w:rFonts w:ascii="Century Gothic" w:hAnsi="Century Gothic"/>
        </w:rPr>
        <w:t>Engagement in recovery activities</w:t>
      </w:r>
    </w:p>
    <w:p w14:paraId="6C8EF4DA" w14:textId="3A28B8F8" w:rsidR="00A74E98" w:rsidRPr="00A74E98" w:rsidRDefault="00A74E98" w:rsidP="00A74E98">
      <w:pPr>
        <w:pStyle w:val="ListParagraph"/>
        <w:numPr>
          <w:ilvl w:val="0"/>
          <w:numId w:val="6"/>
        </w:numPr>
        <w:spacing w:after="0"/>
        <w:rPr>
          <w:rFonts w:ascii="Century Gothic" w:hAnsi="Century Gothic"/>
        </w:rPr>
      </w:pPr>
      <w:r w:rsidRPr="00A74E98">
        <w:rPr>
          <w:rFonts w:ascii="Century Gothic" w:hAnsi="Century Gothic"/>
        </w:rPr>
        <w:t>Titrated off prescribed medication</w:t>
      </w:r>
    </w:p>
    <w:p w14:paraId="4354364C" w14:textId="6A873287" w:rsidR="00A74E98" w:rsidRPr="00A74E98" w:rsidRDefault="00A74E98" w:rsidP="00A74E98">
      <w:pPr>
        <w:pStyle w:val="ListParagraph"/>
        <w:numPr>
          <w:ilvl w:val="0"/>
          <w:numId w:val="6"/>
        </w:numPr>
        <w:spacing w:after="0"/>
        <w:rPr>
          <w:rFonts w:ascii="Century Gothic" w:hAnsi="Century Gothic"/>
        </w:rPr>
      </w:pPr>
      <w:r w:rsidRPr="00A74E98">
        <w:rPr>
          <w:rFonts w:ascii="Century Gothic" w:hAnsi="Century Gothic"/>
        </w:rPr>
        <w:t>Evaluate readiness for self-directed recovery program</w:t>
      </w:r>
    </w:p>
    <w:p w14:paraId="10B3D90E" w14:textId="261ABDA6" w:rsidR="00A74E98" w:rsidRPr="00A74E98" w:rsidRDefault="00A74E98" w:rsidP="00A74E98">
      <w:pPr>
        <w:pStyle w:val="ListParagraph"/>
        <w:numPr>
          <w:ilvl w:val="0"/>
          <w:numId w:val="6"/>
        </w:numPr>
        <w:spacing w:after="0"/>
        <w:rPr>
          <w:rFonts w:ascii="Century Gothic" w:hAnsi="Century Gothic"/>
        </w:rPr>
      </w:pPr>
      <w:r w:rsidRPr="00A74E98">
        <w:rPr>
          <w:rFonts w:ascii="Century Gothic" w:hAnsi="Century Gothic"/>
        </w:rPr>
        <w:t>Relapse prevention plan in place</w:t>
      </w:r>
    </w:p>
    <w:p w14:paraId="5E9AA096" w14:textId="77777777" w:rsidR="00A74E98" w:rsidRPr="00A74E98" w:rsidRDefault="00A74E98" w:rsidP="00A74E98">
      <w:pPr>
        <w:spacing w:after="0"/>
        <w:rPr>
          <w:rFonts w:ascii="Century Gothic" w:hAnsi="Century Gothic"/>
        </w:rPr>
      </w:pPr>
    </w:p>
    <w:p w14:paraId="6D0F84AA" w14:textId="506D5919" w:rsidR="00A74E98" w:rsidRPr="00A74E98" w:rsidRDefault="00A74E98" w:rsidP="00A74E98">
      <w:pPr>
        <w:spacing w:after="0"/>
        <w:rPr>
          <w:rFonts w:ascii="Century Gothic" w:hAnsi="Century Gothic"/>
          <w:b/>
          <w:bCs/>
        </w:rPr>
      </w:pPr>
      <w:r w:rsidRPr="00A74E98">
        <w:rPr>
          <w:rFonts w:ascii="Century Gothic" w:hAnsi="Century Gothic"/>
          <w:b/>
          <w:bCs/>
        </w:rPr>
        <w:t>Proposed Quality Measures</w:t>
      </w:r>
      <w:r w:rsidRPr="00A74E98">
        <w:rPr>
          <w:rFonts w:ascii="Century Gothic" w:hAnsi="Century Gothic"/>
          <w:b/>
          <w:bCs/>
        </w:rPr>
        <w:br/>
      </w:r>
    </w:p>
    <w:p w14:paraId="0761565D" w14:textId="3946FE04" w:rsidR="00A74E98" w:rsidRPr="00A74E98" w:rsidRDefault="00A74E98" w:rsidP="00A74E98">
      <w:pPr>
        <w:pStyle w:val="ListParagraph"/>
        <w:numPr>
          <w:ilvl w:val="0"/>
          <w:numId w:val="7"/>
        </w:numPr>
        <w:spacing w:after="0"/>
        <w:rPr>
          <w:rFonts w:ascii="Century Gothic" w:hAnsi="Century Gothic"/>
        </w:rPr>
      </w:pPr>
      <w:r w:rsidRPr="00A74E98">
        <w:rPr>
          <w:rFonts w:ascii="Century Gothic" w:hAnsi="Century Gothic"/>
        </w:rPr>
        <w:t>There is evidence that one of the suggested Psychosocial or Medication-assisted treatments is being used or that one was considered and why it was not used.</w:t>
      </w:r>
    </w:p>
    <w:p w14:paraId="3C3AD0C7" w14:textId="0AD10594" w:rsidR="00A74E98" w:rsidRPr="00A74E98" w:rsidRDefault="00A74E98" w:rsidP="00A74E98">
      <w:pPr>
        <w:pStyle w:val="ListParagraph"/>
        <w:numPr>
          <w:ilvl w:val="0"/>
          <w:numId w:val="7"/>
        </w:numPr>
        <w:spacing w:after="0"/>
        <w:rPr>
          <w:rFonts w:ascii="Century Gothic" w:hAnsi="Century Gothic"/>
        </w:rPr>
      </w:pPr>
      <w:r w:rsidRPr="00A74E98">
        <w:rPr>
          <w:rFonts w:ascii="Century Gothic" w:hAnsi="Century Gothic"/>
        </w:rPr>
        <w:t>Evidence that ongoing urinalysis testing is being done to accurately reflect substance use versus any medication management.</w:t>
      </w:r>
    </w:p>
    <w:p w14:paraId="37683577" w14:textId="77777777" w:rsidR="00A74E98" w:rsidRPr="00A74E98" w:rsidRDefault="00A74E98" w:rsidP="00A74E98">
      <w:pPr>
        <w:spacing w:after="0"/>
        <w:rPr>
          <w:rFonts w:ascii="Century Gothic" w:hAnsi="Century Gothic"/>
        </w:rPr>
      </w:pPr>
    </w:p>
    <w:p w14:paraId="33D7E189" w14:textId="141DA5C6" w:rsidR="00A74E98" w:rsidRPr="00A74E98" w:rsidRDefault="00A74E98" w:rsidP="00A74E98">
      <w:pPr>
        <w:spacing w:after="0"/>
        <w:rPr>
          <w:rFonts w:ascii="Century Gothic" w:hAnsi="Century Gothic"/>
          <w:b/>
          <w:bCs/>
        </w:rPr>
      </w:pPr>
      <w:r w:rsidRPr="00A74E98">
        <w:rPr>
          <w:rFonts w:ascii="Century Gothic" w:hAnsi="Century Gothic"/>
          <w:b/>
          <w:bCs/>
        </w:rPr>
        <w:t>Resources:</w:t>
      </w:r>
      <w:r w:rsidRPr="00A74E98">
        <w:rPr>
          <w:rFonts w:ascii="Century Gothic" w:hAnsi="Century Gothic"/>
          <w:b/>
          <w:bCs/>
        </w:rPr>
        <w:br/>
      </w:r>
    </w:p>
    <w:p w14:paraId="7BF40D4C" w14:textId="44CE8619" w:rsidR="00A74E98" w:rsidRPr="00A74E98" w:rsidRDefault="00A74E98" w:rsidP="00A74E98">
      <w:pPr>
        <w:pStyle w:val="ListParagraph"/>
        <w:numPr>
          <w:ilvl w:val="0"/>
          <w:numId w:val="8"/>
        </w:numPr>
        <w:spacing w:after="0"/>
        <w:rPr>
          <w:rFonts w:ascii="Century Gothic" w:hAnsi="Century Gothic"/>
        </w:rPr>
      </w:pPr>
      <w:r w:rsidRPr="00A74E98">
        <w:rPr>
          <w:rFonts w:ascii="Century Gothic" w:hAnsi="Century Gothic"/>
        </w:rPr>
        <w:t xml:space="preserve">Evidence-based practices for substance use disorders. McGovern and Carroll, 2003. </w:t>
      </w:r>
      <w:hyperlink r:id="rId7" w:history="1">
        <w:r w:rsidRPr="00656F50">
          <w:rPr>
            <w:rStyle w:val="Hyperlink"/>
            <w:rFonts w:ascii="Century Gothic" w:hAnsi="Century Gothic"/>
          </w:rPr>
          <w:t>https://www.ncbi.nlm.nih.gov/pmc/articles/PMC3678283/</w:t>
        </w:r>
      </w:hyperlink>
      <w:r>
        <w:rPr>
          <w:rFonts w:ascii="Century Gothic" w:hAnsi="Century Gothic"/>
        </w:rPr>
        <w:t xml:space="preserve"> </w:t>
      </w:r>
    </w:p>
    <w:p w14:paraId="5CAF1637" w14:textId="27425BF8" w:rsidR="00A74E98" w:rsidRPr="00A74E98" w:rsidRDefault="00A74E98" w:rsidP="00A74E98">
      <w:pPr>
        <w:pStyle w:val="ListParagraph"/>
        <w:numPr>
          <w:ilvl w:val="0"/>
          <w:numId w:val="8"/>
        </w:numPr>
        <w:spacing w:after="0"/>
        <w:rPr>
          <w:rFonts w:ascii="Century Gothic" w:hAnsi="Century Gothic"/>
        </w:rPr>
      </w:pPr>
      <w:hyperlink r:id="rId8" w:history="1">
        <w:r w:rsidRPr="00656F50">
          <w:rPr>
            <w:rStyle w:val="Hyperlink"/>
            <w:rFonts w:ascii="Century Gothic" w:hAnsi="Century Gothic"/>
          </w:rPr>
          <w:t>https://www.asam.org/Quality-Science/quality/npg/pocket-guide-and-app</w:t>
        </w:r>
      </w:hyperlink>
      <w:r>
        <w:rPr>
          <w:rFonts w:ascii="Century Gothic" w:hAnsi="Century Gothic"/>
        </w:rPr>
        <w:t xml:space="preserve"> </w:t>
      </w:r>
    </w:p>
    <w:p w14:paraId="43F434B1" w14:textId="28D87975" w:rsidR="00A74E98" w:rsidRPr="00A74E98" w:rsidRDefault="00A74E98" w:rsidP="00A74E98">
      <w:pPr>
        <w:pStyle w:val="ListParagraph"/>
        <w:numPr>
          <w:ilvl w:val="0"/>
          <w:numId w:val="8"/>
        </w:numPr>
        <w:spacing w:after="0"/>
        <w:rPr>
          <w:rFonts w:ascii="Century Gothic" w:hAnsi="Century Gothic"/>
        </w:rPr>
      </w:pPr>
      <w:hyperlink r:id="rId9" w:history="1">
        <w:r w:rsidRPr="00656F50">
          <w:rPr>
            <w:rStyle w:val="Hyperlink"/>
            <w:rFonts w:ascii="Century Gothic" w:hAnsi="Century Gothic"/>
          </w:rPr>
          <w:t>http://psychiatryonline.org/pb/assets/raw/sitewide/practice_guidelines/guidelines/subs tanceuse.pdf</w:t>
        </w:r>
      </w:hyperlink>
      <w:r>
        <w:rPr>
          <w:rFonts w:ascii="Century Gothic" w:hAnsi="Century Gothic"/>
        </w:rPr>
        <w:t xml:space="preserve"> </w:t>
      </w:r>
    </w:p>
    <w:p w14:paraId="0A9635AF" w14:textId="68A0455C" w:rsidR="00A74E98" w:rsidRPr="00A74E98" w:rsidRDefault="00A74E98" w:rsidP="00A74E98">
      <w:pPr>
        <w:pStyle w:val="ListParagraph"/>
        <w:numPr>
          <w:ilvl w:val="0"/>
          <w:numId w:val="8"/>
        </w:numPr>
        <w:spacing w:after="0"/>
        <w:rPr>
          <w:rFonts w:ascii="Century Gothic" w:hAnsi="Century Gothic"/>
        </w:rPr>
      </w:pPr>
      <w:hyperlink r:id="rId10" w:history="1">
        <w:r w:rsidRPr="00656F50">
          <w:rPr>
            <w:rStyle w:val="Hyperlink"/>
            <w:rFonts w:ascii="Century Gothic" w:hAnsi="Century Gothic"/>
          </w:rPr>
          <w:t>http://www.healthquality.va.gov/guidelines/MH/sud/VADoDSUDCPGRevised22216.pdf</w:t>
        </w:r>
      </w:hyperlink>
      <w:r>
        <w:rPr>
          <w:rFonts w:ascii="Century Gothic" w:hAnsi="Century Gothic"/>
        </w:rPr>
        <w:t xml:space="preserve"> </w:t>
      </w:r>
    </w:p>
    <w:p w14:paraId="3F9623B6" w14:textId="693FFDAC" w:rsidR="00A74E98" w:rsidRPr="00A74E98" w:rsidRDefault="00A74E98" w:rsidP="00A74E98">
      <w:pPr>
        <w:pStyle w:val="ListParagraph"/>
        <w:numPr>
          <w:ilvl w:val="0"/>
          <w:numId w:val="8"/>
        </w:numPr>
        <w:spacing w:after="0"/>
        <w:rPr>
          <w:rFonts w:ascii="Century Gothic" w:hAnsi="Century Gothic"/>
        </w:rPr>
      </w:pPr>
      <w:hyperlink r:id="rId11" w:history="1">
        <w:r w:rsidRPr="00656F50">
          <w:rPr>
            <w:rStyle w:val="Hyperlink"/>
            <w:rFonts w:ascii="Century Gothic" w:hAnsi="Century Gothic"/>
          </w:rPr>
          <w:t>http://www.fbhpartners.com/providers/guidelines/SUD-Clinical-Guidelines.pdf</w:t>
        </w:r>
      </w:hyperlink>
      <w:r>
        <w:rPr>
          <w:rFonts w:ascii="Century Gothic" w:hAnsi="Century Gothic"/>
        </w:rPr>
        <w:t xml:space="preserve"> </w:t>
      </w:r>
    </w:p>
    <w:p w14:paraId="4D7C392B" w14:textId="7BAE8E1C" w:rsidR="00A74E98" w:rsidRPr="00A74E98" w:rsidRDefault="00A74E98" w:rsidP="00A74E98">
      <w:pPr>
        <w:pStyle w:val="ListParagraph"/>
        <w:numPr>
          <w:ilvl w:val="0"/>
          <w:numId w:val="8"/>
        </w:numPr>
        <w:spacing w:after="0"/>
        <w:rPr>
          <w:rFonts w:ascii="Century Gothic" w:hAnsi="Century Gothic"/>
        </w:rPr>
      </w:pPr>
      <w:hyperlink r:id="rId12" w:history="1">
        <w:r w:rsidRPr="00656F50">
          <w:rPr>
            <w:rStyle w:val="Hyperlink"/>
            <w:rFonts w:ascii="Century Gothic" w:hAnsi="Century Gothic"/>
          </w:rPr>
          <w:t>https://macmhb.org/sites/default/files/attachments/files/Waller%20-%20Opioid%20Tx%20Guidelines.pdf</w:t>
        </w:r>
      </w:hyperlink>
      <w:r>
        <w:rPr>
          <w:rFonts w:ascii="Century Gothic" w:hAnsi="Century Gothic"/>
        </w:rPr>
        <w:t xml:space="preserve"> </w:t>
      </w:r>
    </w:p>
    <w:p w14:paraId="31AA0DF3" w14:textId="37CEF5DD" w:rsidR="00A74E98" w:rsidRDefault="00A74E98">
      <w:pPr>
        <w:rPr>
          <w:rFonts w:ascii="Century Gothic" w:hAnsi="Century Gothic"/>
        </w:rPr>
      </w:pPr>
      <w:r>
        <w:rPr>
          <w:rFonts w:ascii="Century Gothic" w:hAnsi="Century Gothic"/>
        </w:rPr>
        <w:br w:type="page"/>
      </w:r>
    </w:p>
    <w:p w14:paraId="59C5D267" w14:textId="77777777" w:rsidR="00A74E98" w:rsidRPr="00A74E98" w:rsidRDefault="00A74E98" w:rsidP="00A74E98">
      <w:pPr>
        <w:spacing w:after="0"/>
        <w:rPr>
          <w:rFonts w:ascii="Century Gothic" w:hAnsi="Century Gothic"/>
          <w:b/>
          <w:bCs/>
          <w:u w:val="single"/>
        </w:rPr>
      </w:pPr>
      <w:r w:rsidRPr="00A74E98">
        <w:rPr>
          <w:rFonts w:ascii="Century Gothic" w:hAnsi="Century Gothic"/>
          <w:b/>
          <w:bCs/>
          <w:u w:val="single"/>
        </w:rPr>
        <w:lastRenderedPageBreak/>
        <w:t>SBH Practice Guideline Summary: Children and Adolescents Diagnosed with PTSD</w:t>
      </w:r>
    </w:p>
    <w:p w14:paraId="15259775" w14:textId="77777777" w:rsidR="00A74E98" w:rsidRPr="00A74E98" w:rsidRDefault="00A74E98" w:rsidP="00A74E98">
      <w:pPr>
        <w:spacing w:after="0"/>
        <w:rPr>
          <w:rFonts w:ascii="Century Gothic" w:hAnsi="Century Gothic"/>
        </w:rPr>
      </w:pPr>
    </w:p>
    <w:p w14:paraId="5E301568" w14:textId="77777777" w:rsidR="00A74E98" w:rsidRPr="00A74E98" w:rsidRDefault="00A74E98" w:rsidP="00A74E98">
      <w:pPr>
        <w:spacing w:after="0"/>
        <w:rPr>
          <w:rFonts w:ascii="Century Gothic" w:hAnsi="Century Gothic"/>
        </w:rPr>
      </w:pPr>
      <w:r w:rsidRPr="00A74E98">
        <w:rPr>
          <w:rFonts w:ascii="Century Gothic" w:hAnsi="Century Gothic"/>
          <w:b/>
          <w:bCs/>
        </w:rPr>
        <w:t>Practice Guideline Title and Associated Organization</w:t>
      </w:r>
      <w:r w:rsidRPr="00A74E98">
        <w:rPr>
          <w:rFonts w:ascii="Century Gothic" w:hAnsi="Century Gothic"/>
        </w:rPr>
        <w:t>: Practice Parameter for the Assessment and Treatment of Children and Adolescents with Posttraumatic Stress Disorder, American Academy of Child and Adolescent Psychiatry</w:t>
      </w:r>
    </w:p>
    <w:p w14:paraId="75B20F91" w14:textId="77777777" w:rsidR="00A74E98" w:rsidRPr="00A74E98" w:rsidRDefault="00A74E98" w:rsidP="00A74E98">
      <w:pPr>
        <w:spacing w:after="0"/>
        <w:rPr>
          <w:rFonts w:ascii="Century Gothic" w:hAnsi="Century Gothic"/>
        </w:rPr>
      </w:pPr>
    </w:p>
    <w:p w14:paraId="4B0C373E" w14:textId="77777777" w:rsidR="00A74E98" w:rsidRPr="00A74E98" w:rsidRDefault="00A74E98" w:rsidP="00A74E98">
      <w:pPr>
        <w:spacing w:after="0"/>
        <w:rPr>
          <w:rFonts w:ascii="Century Gothic" w:hAnsi="Century Gothic"/>
        </w:rPr>
      </w:pPr>
      <w:r w:rsidRPr="00A74E98">
        <w:rPr>
          <w:rFonts w:ascii="Century Gothic" w:hAnsi="Century Gothic"/>
          <w:b/>
          <w:bCs/>
        </w:rPr>
        <w:t>Target Population</w:t>
      </w:r>
      <w:r w:rsidRPr="00A74E98">
        <w:rPr>
          <w:rFonts w:ascii="Century Gothic" w:hAnsi="Century Gothic"/>
        </w:rPr>
        <w:t>: Children and adolescents diagnosed with Posttraumatic Stress Disorder</w:t>
      </w:r>
    </w:p>
    <w:p w14:paraId="2EB0323F" w14:textId="77777777" w:rsidR="00A74E98" w:rsidRPr="00A74E98" w:rsidRDefault="00A74E98" w:rsidP="00A74E98">
      <w:pPr>
        <w:spacing w:after="0"/>
        <w:rPr>
          <w:rFonts w:ascii="Century Gothic" w:hAnsi="Century Gothic"/>
        </w:rPr>
      </w:pPr>
    </w:p>
    <w:p w14:paraId="388463DE" w14:textId="750CD56E" w:rsidR="00A74E98" w:rsidRPr="00A74E98" w:rsidRDefault="00A74E98" w:rsidP="00A74E98">
      <w:pPr>
        <w:spacing w:after="0"/>
        <w:rPr>
          <w:rFonts w:ascii="Century Gothic" w:hAnsi="Century Gothic"/>
          <w:b/>
          <w:bCs/>
        </w:rPr>
      </w:pPr>
      <w:r w:rsidRPr="00A74E98">
        <w:rPr>
          <w:rFonts w:ascii="Century Gothic" w:hAnsi="Century Gothic"/>
          <w:b/>
          <w:bCs/>
        </w:rPr>
        <w:t>General Recommendations:</w:t>
      </w:r>
      <w:r>
        <w:rPr>
          <w:rFonts w:ascii="Century Gothic" w:hAnsi="Century Gothic"/>
          <w:b/>
          <w:bCs/>
        </w:rPr>
        <w:br/>
      </w:r>
    </w:p>
    <w:p w14:paraId="49F81257" w14:textId="7C15F303" w:rsidR="00A74E98" w:rsidRPr="00A74E98" w:rsidRDefault="00A74E98" w:rsidP="00A74E98">
      <w:pPr>
        <w:pStyle w:val="ListParagraph"/>
        <w:numPr>
          <w:ilvl w:val="0"/>
          <w:numId w:val="9"/>
        </w:numPr>
        <w:spacing w:after="0"/>
        <w:rPr>
          <w:rFonts w:ascii="Century Gothic" w:hAnsi="Century Gothic"/>
        </w:rPr>
      </w:pPr>
      <w:r w:rsidRPr="00A74E98">
        <w:rPr>
          <w:rFonts w:ascii="Century Gothic" w:hAnsi="Century Gothic"/>
        </w:rPr>
        <w:t>The initial assessment of children and adolescents should include questions about traumatic experiences and PTSD symptoms.</w:t>
      </w:r>
    </w:p>
    <w:p w14:paraId="4CE47383" w14:textId="5A8A999E" w:rsidR="00A74E98" w:rsidRPr="00A74E98" w:rsidRDefault="00A74E98" w:rsidP="00A74E98">
      <w:pPr>
        <w:pStyle w:val="ListParagraph"/>
        <w:numPr>
          <w:ilvl w:val="0"/>
          <w:numId w:val="9"/>
        </w:numPr>
        <w:spacing w:after="0"/>
        <w:rPr>
          <w:rFonts w:ascii="Century Gothic" w:hAnsi="Century Gothic"/>
        </w:rPr>
      </w:pPr>
      <w:r w:rsidRPr="00A74E98">
        <w:rPr>
          <w:rFonts w:ascii="Century Gothic" w:hAnsi="Century Gothic"/>
        </w:rPr>
        <w:t>If the assessment indicates significant PTSD symptoms, the clinician should conduct a formal evaluation to determine whether PTSD is present, the severity of the symptoms, and the degree of functional impairment. Parents or other caregivers should be included in this evaluation wherever possible.</w:t>
      </w:r>
    </w:p>
    <w:p w14:paraId="7330559C" w14:textId="77178034" w:rsidR="00A74E98" w:rsidRPr="00A74E98" w:rsidRDefault="00A74E98" w:rsidP="00A74E98">
      <w:pPr>
        <w:pStyle w:val="ListParagraph"/>
        <w:numPr>
          <w:ilvl w:val="0"/>
          <w:numId w:val="9"/>
        </w:numPr>
        <w:spacing w:after="0"/>
        <w:rPr>
          <w:rFonts w:ascii="Century Gothic" w:hAnsi="Century Gothic"/>
        </w:rPr>
      </w:pPr>
      <w:r w:rsidRPr="00A74E98">
        <w:rPr>
          <w:rFonts w:ascii="Century Gothic" w:hAnsi="Century Gothic"/>
        </w:rPr>
        <w:t>The assessment should consider differential diagnoses of other psychiatric disorders and physical conditions that may mimic PTSD.</w:t>
      </w:r>
    </w:p>
    <w:p w14:paraId="20512687" w14:textId="12F9C8CA" w:rsidR="00A74E98" w:rsidRPr="00A74E98" w:rsidRDefault="00A74E98" w:rsidP="00A74E98">
      <w:pPr>
        <w:pStyle w:val="ListParagraph"/>
        <w:numPr>
          <w:ilvl w:val="0"/>
          <w:numId w:val="9"/>
        </w:numPr>
        <w:spacing w:after="0"/>
        <w:rPr>
          <w:rFonts w:ascii="Century Gothic" w:hAnsi="Century Gothic"/>
        </w:rPr>
      </w:pPr>
      <w:r w:rsidRPr="00A74E98">
        <w:rPr>
          <w:rFonts w:ascii="Century Gothic" w:hAnsi="Century Gothic"/>
        </w:rPr>
        <w:t>Treatment planning should consider a comprehensive treatment approach, which includes consideration of the severity and degree of impairment of the child’s PTSD symptoms.</w:t>
      </w:r>
    </w:p>
    <w:p w14:paraId="643FCF66" w14:textId="6203C238" w:rsidR="00A74E98" w:rsidRPr="00A74E98" w:rsidRDefault="00A74E98" w:rsidP="00A74E98">
      <w:pPr>
        <w:pStyle w:val="ListParagraph"/>
        <w:numPr>
          <w:ilvl w:val="0"/>
          <w:numId w:val="9"/>
        </w:numPr>
        <w:spacing w:after="0"/>
        <w:rPr>
          <w:rFonts w:ascii="Century Gothic" w:hAnsi="Century Gothic"/>
        </w:rPr>
      </w:pPr>
      <w:r w:rsidRPr="00A74E98">
        <w:rPr>
          <w:rFonts w:ascii="Century Gothic" w:hAnsi="Century Gothic"/>
        </w:rPr>
        <w:t>Treatment planning should incorporate appropriate interventions for comorbid psychiatric disorders.</w:t>
      </w:r>
    </w:p>
    <w:p w14:paraId="7F046B65" w14:textId="17261B75" w:rsidR="00A74E98" w:rsidRPr="00A74E98" w:rsidRDefault="00A74E98" w:rsidP="00A74E98">
      <w:pPr>
        <w:pStyle w:val="ListParagraph"/>
        <w:numPr>
          <w:ilvl w:val="0"/>
          <w:numId w:val="9"/>
        </w:numPr>
        <w:spacing w:after="0"/>
        <w:rPr>
          <w:rFonts w:ascii="Century Gothic" w:hAnsi="Century Gothic"/>
        </w:rPr>
      </w:pPr>
      <w:r w:rsidRPr="00A74E98">
        <w:rPr>
          <w:rFonts w:ascii="Century Gothic" w:hAnsi="Century Gothic"/>
        </w:rPr>
        <w:t>Trauma-focused psychotherapies should be considered first-line treatments for children and adolescents with PTSD including Cognitive Behavioral and psychodynamic trauma- focused therapies. Eye Movement Desensitization and Reprocessing (EMDR) is included under CBT interventions.</w:t>
      </w:r>
    </w:p>
    <w:p w14:paraId="6798FEBF" w14:textId="68175657" w:rsidR="00A74E98" w:rsidRPr="00A74E98" w:rsidRDefault="00A74E98" w:rsidP="00A74E98">
      <w:pPr>
        <w:pStyle w:val="ListParagraph"/>
        <w:numPr>
          <w:ilvl w:val="0"/>
          <w:numId w:val="9"/>
        </w:numPr>
        <w:spacing w:after="0"/>
        <w:rPr>
          <w:rFonts w:ascii="Century Gothic" w:hAnsi="Century Gothic"/>
        </w:rPr>
      </w:pPr>
      <w:r w:rsidRPr="00A74E98">
        <w:rPr>
          <w:rFonts w:ascii="Century Gothic" w:hAnsi="Century Gothic"/>
        </w:rPr>
        <w:t>SSRIs can be considered for the treatment of children and adolescents with PTSD.</w:t>
      </w:r>
    </w:p>
    <w:p w14:paraId="7371C55E" w14:textId="6F96C411" w:rsidR="00A74E98" w:rsidRPr="00A74E98" w:rsidRDefault="00A74E98" w:rsidP="00A74E98">
      <w:pPr>
        <w:pStyle w:val="ListParagraph"/>
        <w:numPr>
          <w:ilvl w:val="0"/>
          <w:numId w:val="9"/>
        </w:numPr>
        <w:spacing w:after="0"/>
        <w:rPr>
          <w:rFonts w:ascii="Century Gothic" w:hAnsi="Century Gothic"/>
        </w:rPr>
      </w:pPr>
      <w:r w:rsidRPr="00A74E98">
        <w:rPr>
          <w:rFonts w:ascii="Century Gothic" w:hAnsi="Century Gothic"/>
        </w:rPr>
        <w:t>Medications other than SSRIs may also be considered for children and adolescents with PTSD.</w:t>
      </w:r>
    </w:p>
    <w:p w14:paraId="6EAD9B23" w14:textId="658C0732" w:rsidR="00A74E98" w:rsidRPr="00A74E98" w:rsidRDefault="00A74E98" w:rsidP="00A74E98">
      <w:pPr>
        <w:pStyle w:val="ListParagraph"/>
        <w:numPr>
          <w:ilvl w:val="0"/>
          <w:numId w:val="9"/>
        </w:numPr>
        <w:spacing w:after="0"/>
        <w:rPr>
          <w:rFonts w:ascii="Century Gothic" w:hAnsi="Century Gothic"/>
        </w:rPr>
      </w:pPr>
      <w:r w:rsidRPr="00A74E98">
        <w:rPr>
          <w:rFonts w:ascii="Century Gothic" w:hAnsi="Century Gothic"/>
        </w:rPr>
        <w:t>Treatment planning may consider school-based accommodations.</w:t>
      </w:r>
    </w:p>
    <w:p w14:paraId="15256E73" w14:textId="4CBA023B" w:rsidR="00A74E98" w:rsidRPr="00A74E98" w:rsidRDefault="00A74E98" w:rsidP="00A74E98">
      <w:pPr>
        <w:pStyle w:val="ListParagraph"/>
        <w:numPr>
          <w:ilvl w:val="0"/>
          <w:numId w:val="9"/>
        </w:numPr>
        <w:spacing w:after="0"/>
        <w:rPr>
          <w:rFonts w:ascii="Century Gothic" w:hAnsi="Century Gothic"/>
        </w:rPr>
      </w:pPr>
      <w:r w:rsidRPr="00A74E98">
        <w:rPr>
          <w:rFonts w:ascii="Century Gothic" w:hAnsi="Century Gothic"/>
        </w:rPr>
        <w:t>Use of restrictive “rebirthing” therapies and other techniques that bind, restrict, withhold food or water, or are otherwise coercive are not endorsed.</w:t>
      </w:r>
    </w:p>
    <w:p w14:paraId="580AF86F" w14:textId="77777777" w:rsidR="00A74E98" w:rsidRPr="00A74E98" w:rsidRDefault="00A74E98" w:rsidP="00A74E98">
      <w:pPr>
        <w:spacing w:after="0"/>
        <w:rPr>
          <w:rFonts w:ascii="Century Gothic" w:hAnsi="Century Gothic"/>
        </w:rPr>
      </w:pPr>
    </w:p>
    <w:p w14:paraId="37E99F2E" w14:textId="7FD04C52" w:rsidR="00A74E98" w:rsidRPr="00A74E98" w:rsidRDefault="00A74E98" w:rsidP="00A74E98">
      <w:pPr>
        <w:spacing w:after="0"/>
        <w:rPr>
          <w:rFonts w:ascii="Century Gothic" w:hAnsi="Century Gothic"/>
          <w:b/>
          <w:bCs/>
        </w:rPr>
      </w:pPr>
      <w:r w:rsidRPr="00A74E98">
        <w:rPr>
          <w:rFonts w:ascii="Century Gothic" w:hAnsi="Century Gothic"/>
          <w:b/>
          <w:bCs/>
        </w:rPr>
        <w:t>Proposed Quality Measures</w:t>
      </w:r>
      <w:r>
        <w:rPr>
          <w:rFonts w:ascii="Century Gothic" w:hAnsi="Century Gothic"/>
          <w:b/>
          <w:bCs/>
        </w:rPr>
        <w:br/>
      </w:r>
    </w:p>
    <w:p w14:paraId="188C6DEC" w14:textId="52A0F332" w:rsidR="00A74E98" w:rsidRPr="00A74E98" w:rsidRDefault="00A74E98" w:rsidP="00A74E98">
      <w:pPr>
        <w:pStyle w:val="ListParagraph"/>
        <w:numPr>
          <w:ilvl w:val="0"/>
          <w:numId w:val="10"/>
        </w:numPr>
        <w:spacing w:after="0"/>
        <w:rPr>
          <w:rFonts w:ascii="Century Gothic" w:hAnsi="Century Gothic"/>
        </w:rPr>
      </w:pPr>
      <w:r w:rsidRPr="00A74E98">
        <w:rPr>
          <w:rFonts w:ascii="Century Gothic" w:hAnsi="Century Gothic"/>
        </w:rPr>
        <w:t>There is evidence that Trauma-Based CBT is being used or there is documentation that it was considered with a rationale for why it is not being offered.</w:t>
      </w:r>
    </w:p>
    <w:p w14:paraId="5E61B1C7" w14:textId="53AA85B2" w:rsidR="00A74E98" w:rsidRPr="00A74E98" w:rsidRDefault="00A74E98" w:rsidP="00A74E98">
      <w:pPr>
        <w:pStyle w:val="ListParagraph"/>
        <w:numPr>
          <w:ilvl w:val="0"/>
          <w:numId w:val="10"/>
        </w:numPr>
        <w:spacing w:after="0"/>
        <w:rPr>
          <w:rFonts w:ascii="Century Gothic" w:hAnsi="Century Gothic"/>
        </w:rPr>
      </w:pPr>
      <w:r w:rsidRPr="00A74E98">
        <w:rPr>
          <w:rFonts w:ascii="Century Gothic" w:hAnsi="Century Gothic"/>
        </w:rPr>
        <w:t>There is evidence of routine screening for traumatic incidents and PTSD symptoms at intake.</w:t>
      </w:r>
    </w:p>
    <w:p w14:paraId="64EDFE3A" w14:textId="797F08DE" w:rsidR="00A74E98" w:rsidRDefault="00A74E98" w:rsidP="00A74E98">
      <w:pPr>
        <w:spacing w:after="0"/>
        <w:rPr>
          <w:rFonts w:ascii="Century Gothic" w:hAnsi="Century Gothic"/>
        </w:rPr>
      </w:pPr>
      <w:r w:rsidRPr="00A74E98">
        <w:rPr>
          <w:rFonts w:ascii="Century Gothic" w:hAnsi="Century Gothic"/>
        </w:rPr>
        <w:t xml:space="preserve"> </w:t>
      </w:r>
    </w:p>
    <w:p w14:paraId="1984341F" w14:textId="77777777" w:rsidR="00A74E98" w:rsidRPr="00A74E98" w:rsidRDefault="00A74E98" w:rsidP="00A74E98">
      <w:pPr>
        <w:spacing w:after="0"/>
        <w:rPr>
          <w:rFonts w:ascii="Century Gothic" w:hAnsi="Century Gothic"/>
        </w:rPr>
      </w:pPr>
    </w:p>
    <w:p w14:paraId="193ED63B" w14:textId="0864CFAE" w:rsidR="00A74E98" w:rsidRPr="00A74E98" w:rsidRDefault="00A74E98" w:rsidP="00A74E98">
      <w:pPr>
        <w:spacing w:after="0"/>
        <w:rPr>
          <w:rFonts w:ascii="Century Gothic" w:hAnsi="Century Gothic"/>
          <w:b/>
          <w:bCs/>
        </w:rPr>
      </w:pPr>
      <w:r w:rsidRPr="00A74E98">
        <w:rPr>
          <w:rFonts w:ascii="Century Gothic" w:hAnsi="Century Gothic"/>
          <w:b/>
          <w:bCs/>
        </w:rPr>
        <w:lastRenderedPageBreak/>
        <w:t>Resources:</w:t>
      </w:r>
      <w:r>
        <w:rPr>
          <w:rFonts w:ascii="Century Gothic" w:hAnsi="Century Gothic"/>
          <w:b/>
          <w:bCs/>
        </w:rPr>
        <w:br/>
      </w:r>
    </w:p>
    <w:p w14:paraId="1AAD6323" w14:textId="2B2A62D1" w:rsidR="00A74E98" w:rsidRPr="00A74E98" w:rsidRDefault="00A74E98" w:rsidP="00A74E98">
      <w:pPr>
        <w:pStyle w:val="ListParagraph"/>
        <w:numPr>
          <w:ilvl w:val="0"/>
          <w:numId w:val="11"/>
        </w:numPr>
        <w:spacing w:after="0"/>
        <w:rPr>
          <w:rFonts w:ascii="Century Gothic" w:hAnsi="Century Gothic"/>
        </w:rPr>
      </w:pPr>
      <w:r w:rsidRPr="00A74E98">
        <w:rPr>
          <w:rFonts w:ascii="Century Gothic" w:hAnsi="Century Gothic"/>
        </w:rPr>
        <w:t>Practice Parameter for the Assessment and Treatment of Children and Adolescents with Posttraumatic Stress Disorder. Journal of the American Academy of Child and Adolescent Psychiatry, Volume 49, Number 4, April 2010</w:t>
      </w:r>
    </w:p>
    <w:p w14:paraId="08C0F70E" w14:textId="77777777" w:rsidR="00A74E98" w:rsidRPr="00A74E98" w:rsidRDefault="00A74E98" w:rsidP="00A74E98">
      <w:pPr>
        <w:spacing w:after="0"/>
        <w:rPr>
          <w:rFonts w:ascii="Century Gothic" w:hAnsi="Century Gothic"/>
        </w:rPr>
      </w:pPr>
      <w:r w:rsidRPr="00A74E98">
        <w:rPr>
          <w:rFonts w:ascii="Century Gothic" w:hAnsi="Century Gothic"/>
        </w:rPr>
        <w:t xml:space="preserve"> </w:t>
      </w:r>
    </w:p>
    <w:p w14:paraId="2E48D253" w14:textId="77777777" w:rsidR="00A74E98" w:rsidRDefault="00A74E98">
      <w:pPr>
        <w:rPr>
          <w:rFonts w:ascii="Century Gothic" w:hAnsi="Century Gothic"/>
        </w:rPr>
      </w:pPr>
      <w:r>
        <w:rPr>
          <w:rFonts w:ascii="Century Gothic" w:hAnsi="Century Gothic"/>
        </w:rPr>
        <w:br w:type="page"/>
      </w:r>
    </w:p>
    <w:p w14:paraId="19A90739" w14:textId="038C092E" w:rsidR="00A74E98" w:rsidRPr="00A74E98" w:rsidRDefault="00A74E98" w:rsidP="00A74E98">
      <w:pPr>
        <w:spacing w:after="0"/>
        <w:jc w:val="center"/>
        <w:rPr>
          <w:rFonts w:ascii="Century Gothic" w:hAnsi="Century Gothic"/>
          <w:b/>
          <w:bCs/>
          <w:u w:val="single"/>
        </w:rPr>
      </w:pPr>
      <w:r w:rsidRPr="00A74E98">
        <w:rPr>
          <w:rFonts w:ascii="Century Gothic" w:hAnsi="Century Gothic"/>
          <w:b/>
          <w:bCs/>
          <w:u w:val="single"/>
        </w:rPr>
        <w:lastRenderedPageBreak/>
        <w:t>SBH Practice Guideline Summary: Major Depression in Adults</w:t>
      </w:r>
    </w:p>
    <w:p w14:paraId="0486C9B6" w14:textId="77777777" w:rsidR="00A74E98" w:rsidRPr="00A74E98" w:rsidRDefault="00A74E98" w:rsidP="00A74E98">
      <w:pPr>
        <w:spacing w:after="0"/>
        <w:rPr>
          <w:rFonts w:ascii="Century Gothic" w:hAnsi="Century Gothic"/>
        </w:rPr>
      </w:pPr>
    </w:p>
    <w:p w14:paraId="41F500D7" w14:textId="77777777" w:rsidR="00A74E98" w:rsidRPr="00A74E98" w:rsidRDefault="00A74E98" w:rsidP="00A74E98">
      <w:pPr>
        <w:spacing w:after="0"/>
        <w:rPr>
          <w:rFonts w:ascii="Century Gothic" w:hAnsi="Century Gothic"/>
        </w:rPr>
      </w:pPr>
      <w:r w:rsidRPr="00A74E98">
        <w:rPr>
          <w:rFonts w:ascii="Century Gothic" w:hAnsi="Century Gothic"/>
          <w:b/>
          <w:bCs/>
        </w:rPr>
        <w:t>Practice Guideline Title and Associated Organization:</w:t>
      </w:r>
      <w:r w:rsidRPr="00A74E98">
        <w:rPr>
          <w:rFonts w:ascii="Century Gothic" w:hAnsi="Century Gothic"/>
        </w:rPr>
        <w:t xml:space="preserve"> Treating Major Depressive Disorder, American Psychiatric Association</w:t>
      </w:r>
    </w:p>
    <w:p w14:paraId="6F2E1B02" w14:textId="77777777" w:rsidR="00A74E98" w:rsidRPr="00A74E98" w:rsidRDefault="00A74E98" w:rsidP="00A74E98">
      <w:pPr>
        <w:spacing w:after="0"/>
        <w:rPr>
          <w:rFonts w:ascii="Century Gothic" w:hAnsi="Century Gothic"/>
        </w:rPr>
      </w:pPr>
    </w:p>
    <w:p w14:paraId="56CF12F0" w14:textId="77777777" w:rsidR="00A74E98" w:rsidRPr="00A74E98" w:rsidRDefault="00A74E98" w:rsidP="00A74E98">
      <w:pPr>
        <w:spacing w:after="0"/>
        <w:rPr>
          <w:rFonts w:ascii="Century Gothic" w:hAnsi="Century Gothic"/>
        </w:rPr>
      </w:pPr>
      <w:r w:rsidRPr="00A74E98">
        <w:rPr>
          <w:rFonts w:ascii="Century Gothic" w:hAnsi="Century Gothic"/>
          <w:b/>
          <w:bCs/>
        </w:rPr>
        <w:t>Target Population</w:t>
      </w:r>
      <w:r w:rsidRPr="00A74E98">
        <w:rPr>
          <w:rFonts w:ascii="Century Gothic" w:hAnsi="Century Gothic"/>
        </w:rPr>
        <w:t>: Adults diagnosed with Major Depressive Disorder</w:t>
      </w:r>
    </w:p>
    <w:p w14:paraId="61165ABA" w14:textId="77777777" w:rsidR="00A74E98" w:rsidRPr="00A74E98" w:rsidRDefault="00A74E98" w:rsidP="00A74E98">
      <w:pPr>
        <w:spacing w:after="0"/>
        <w:rPr>
          <w:rFonts w:ascii="Century Gothic" w:hAnsi="Century Gothic"/>
        </w:rPr>
      </w:pPr>
      <w:r w:rsidRPr="00A74E98">
        <w:rPr>
          <w:rFonts w:ascii="Century Gothic" w:hAnsi="Century Gothic"/>
        </w:rPr>
        <w:t>(Does not apply to Major Depressive episodes in the context of Bipolar or Schizoaffective Disorder)</w:t>
      </w:r>
    </w:p>
    <w:p w14:paraId="31A36DBC" w14:textId="77777777" w:rsidR="00A74E98" w:rsidRPr="00A74E98" w:rsidRDefault="00A74E98" w:rsidP="00A74E98">
      <w:pPr>
        <w:spacing w:after="0"/>
        <w:rPr>
          <w:rFonts w:ascii="Century Gothic" w:hAnsi="Century Gothic"/>
        </w:rPr>
      </w:pPr>
    </w:p>
    <w:p w14:paraId="65B588CE" w14:textId="1B61D3FB" w:rsidR="00A74E98" w:rsidRDefault="00A74E98" w:rsidP="00A74E98">
      <w:pPr>
        <w:spacing w:after="0"/>
        <w:rPr>
          <w:rFonts w:ascii="Century Gothic" w:hAnsi="Century Gothic"/>
          <w:b/>
          <w:bCs/>
        </w:rPr>
      </w:pPr>
      <w:r w:rsidRPr="00A74E98">
        <w:rPr>
          <w:rFonts w:ascii="Century Gothic" w:hAnsi="Century Gothic"/>
          <w:b/>
          <w:bCs/>
        </w:rPr>
        <w:t>General Recommendations</w:t>
      </w:r>
    </w:p>
    <w:p w14:paraId="130DFBC9" w14:textId="77777777" w:rsidR="00A74E98" w:rsidRPr="00A74E98" w:rsidRDefault="00A74E98" w:rsidP="00A74E98">
      <w:pPr>
        <w:spacing w:after="0"/>
        <w:rPr>
          <w:rFonts w:ascii="Century Gothic" w:hAnsi="Century Gothic"/>
          <w:b/>
          <w:bCs/>
        </w:rPr>
      </w:pPr>
    </w:p>
    <w:p w14:paraId="004E39EE" w14:textId="7944AD69" w:rsidR="00A74E98" w:rsidRPr="00A74E98" w:rsidRDefault="00A74E98" w:rsidP="00A74E98">
      <w:pPr>
        <w:pStyle w:val="ListParagraph"/>
        <w:numPr>
          <w:ilvl w:val="0"/>
          <w:numId w:val="12"/>
        </w:numPr>
        <w:spacing w:after="0"/>
        <w:rPr>
          <w:rFonts w:ascii="Century Gothic" w:hAnsi="Century Gothic"/>
        </w:rPr>
      </w:pPr>
      <w:r w:rsidRPr="00A74E98">
        <w:rPr>
          <w:rFonts w:ascii="Century Gothic" w:hAnsi="Century Gothic"/>
        </w:rPr>
        <w:t>Establish and maintain a therapeutic alliance</w:t>
      </w:r>
    </w:p>
    <w:p w14:paraId="541112F0" w14:textId="37B53675" w:rsidR="00A74E98" w:rsidRPr="00A74E98" w:rsidRDefault="00A74E98" w:rsidP="00A74E98">
      <w:pPr>
        <w:pStyle w:val="ListParagraph"/>
        <w:numPr>
          <w:ilvl w:val="0"/>
          <w:numId w:val="12"/>
        </w:numPr>
        <w:spacing w:after="0"/>
        <w:rPr>
          <w:rFonts w:ascii="Century Gothic" w:hAnsi="Century Gothic"/>
        </w:rPr>
      </w:pPr>
      <w:r w:rsidRPr="00A74E98">
        <w:rPr>
          <w:rFonts w:ascii="Century Gothic" w:hAnsi="Century Gothic"/>
        </w:rPr>
        <w:t>Evaluate the safety of the patient</w:t>
      </w:r>
    </w:p>
    <w:p w14:paraId="2E1052DD" w14:textId="461D356D" w:rsidR="00A74E98" w:rsidRPr="00A74E98" w:rsidRDefault="00A74E98" w:rsidP="00A74E98">
      <w:pPr>
        <w:pStyle w:val="ListParagraph"/>
        <w:numPr>
          <w:ilvl w:val="0"/>
          <w:numId w:val="12"/>
        </w:numPr>
        <w:spacing w:after="0"/>
        <w:rPr>
          <w:rFonts w:ascii="Century Gothic" w:hAnsi="Century Gothic"/>
        </w:rPr>
      </w:pPr>
      <w:r w:rsidRPr="00A74E98">
        <w:rPr>
          <w:rFonts w:ascii="Century Gothic" w:hAnsi="Century Gothic"/>
        </w:rPr>
        <w:t>Establish the appropriate treatment setting</w:t>
      </w:r>
    </w:p>
    <w:p w14:paraId="4347A9B3" w14:textId="74310E4B" w:rsidR="00A74E98" w:rsidRPr="00A74E98" w:rsidRDefault="00A74E98" w:rsidP="00A74E98">
      <w:pPr>
        <w:pStyle w:val="ListParagraph"/>
        <w:numPr>
          <w:ilvl w:val="0"/>
          <w:numId w:val="12"/>
        </w:numPr>
        <w:spacing w:after="0"/>
        <w:rPr>
          <w:rFonts w:ascii="Century Gothic" w:hAnsi="Century Gothic"/>
        </w:rPr>
      </w:pPr>
      <w:r w:rsidRPr="00A74E98">
        <w:rPr>
          <w:rFonts w:ascii="Century Gothic" w:hAnsi="Century Gothic"/>
        </w:rPr>
        <w:t>Evaluate and address functional impairments and quality of life</w:t>
      </w:r>
    </w:p>
    <w:p w14:paraId="2F460175" w14:textId="6C7CD752" w:rsidR="00A74E98" w:rsidRPr="00A74E98" w:rsidRDefault="00A74E98" w:rsidP="00A74E98">
      <w:pPr>
        <w:pStyle w:val="ListParagraph"/>
        <w:numPr>
          <w:ilvl w:val="0"/>
          <w:numId w:val="12"/>
        </w:numPr>
        <w:spacing w:after="0"/>
        <w:rPr>
          <w:rFonts w:ascii="Century Gothic" w:hAnsi="Century Gothic"/>
        </w:rPr>
      </w:pPr>
      <w:r w:rsidRPr="00A74E98">
        <w:rPr>
          <w:rFonts w:ascii="Century Gothic" w:hAnsi="Century Gothic"/>
        </w:rPr>
        <w:t>Coordinate the patient’s care with other clinicians</w:t>
      </w:r>
    </w:p>
    <w:p w14:paraId="2BB2BFA5" w14:textId="6DF9E9EF" w:rsidR="00A74E98" w:rsidRPr="00A74E98" w:rsidRDefault="00A74E98" w:rsidP="00A74E98">
      <w:pPr>
        <w:pStyle w:val="ListParagraph"/>
        <w:numPr>
          <w:ilvl w:val="0"/>
          <w:numId w:val="12"/>
        </w:numPr>
        <w:spacing w:after="0"/>
        <w:rPr>
          <w:rFonts w:ascii="Century Gothic" w:hAnsi="Century Gothic"/>
        </w:rPr>
      </w:pPr>
      <w:r w:rsidRPr="00A74E98">
        <w:rPr>
          <w:rFonts w:ascii="Century Gothic" w:hAnsi="Century Gothic"/>
        </w:rPr>
        <w:t>Monitor the patient’s psychiatric status</w:t>
      </w:r>
    </w:p>
    <w:p w14:paraId="036EE421" w14:textId="71270D93" w:rsidR="00A74E98" w:rsidRPr="00A74E98" w:rsidRDefault="00A74E98" w:rsidP="00A74E98">
      <w:pPr>
        <w:pStyle w:val="ListParagraph"/>
        <w:numPr>
          <w:ilvl w:val="0"/>
          <w:numId w:val="12"/>
        </w:numPr>
        <w:spacing w:after="0"/>
        <w:rPr>
          <w:rFonts w:ascii="Century Gothic" w:hAnsi="Century Gothic"/>
        </w:rPr>
      </w:pPr>
      <w:r w:rsidRPr="00A74E98">
        <w:rPr>
          <w:rFonts w:ascii="Century Gothic" w:hAnsi="Century Gothic"/>
        </w:rPr>
        <w:t>Integrate measurements into psychiatric management</w:t>
      </w:r>
    </w:p>
    <w:p w14:paraId="50326888" w14:textId="05EB1182" w:rsidR="00A74E98" w:rsidRPr="00A74E98" w:rsidRDefault="00A74E98" w:rsidP="00A74E98">
      <w:pPr>
        <w:pStyle w:val="ListParagraph"/>
        <w:numPr>
          <w:ilvl w:val="0"/>
          <w:numId w:val="12"/>
        </w:numPr>
        <w:spacing w:after="0"/>
        <w:rPr>
          <w:rFonts w:ascii="Century Gothic" w:hAnsi="Century Gothic"/>
        </w:rPr>
      </w:pPr>
      <w:r w:rsidRPr="00A74E98">
        <w:rPr>
          <w:rFonts w:ascii="Century Gothic" w:hAnsi="Century Gothic"/>
        </w:rPr>
        <w:t>Use of measurement tool- PHQ-9 facilitates diagnosis of major depression, provides assessment of symptom severity, is well validated and documented in a variety of populations, can be used in adolescents as young as 12 years of age</w:t>
      </w:r>
    </w:p>
    <w:p w14:paraId="38E0F921" w14:textId="1F1176CE" w:rsidR="00A74E98" w:rsidRPr="00A74E98" w:rsidRDefault="00A74E98" w:rsidP="00A74E98">
      <w:pPr>
        <w:pStyle w:val="ListParagraph"/>
        <w:numPr>
          <w:ilvl w:val="0"/>
          <w:numId w:val="12"/>
        </w:numPr>
        <w:spacing w:after="0"/>
        <w:rPr>
          <w:rFonts w:ascii="Century Gothic" w:hAnsi="Century Gothic"/>
        </w:rPr>
      </w:pPr>
      <w:r w:rsidRPr="00A74E98">
        <w:rPr>
          <w:rFonts w:ascii="Century Gothic" w:hAnsi="Century Gothic"/>
        </w:rPr>
        <w:t>Enhance treatment adherence</w:t>
      </w:r>
    </w:p>
    <w:p w14:paraId="29C24B05" w14:textId="4792CA75" w:rsidR="00A74E98" w:rsidRPr="00A74E98" w:rsidRDefault="00A74E98" w:rsidP="00A74E98">
      <w:pPr>
        <w:pStyle w:val="ListParagraph"/>
        <w:numPr>
          <w:ilvl w:val="0"/>
          <w:numId w:val="12"/>
        </w:numPr>
        <w:spacing w:after="0"/>
        <w:rPr>
          <w:rFonts w:ascii="Century Gothic" w:hAnsi="Century Gothic"/>
        </w:rPr>
      </w:pPr>
      <w:r w:rsidRPr="00A74E98">
        <w:rPr>
          <w:rFonts w:ascii="Century Gothic" w:hAnsi="Century Gothic"/>
        </w:rPr>
        <w:t>Provide education to the patient and, when appropriate, to the family</w:t>
      </w:r>
    </w:p>
    <w:p w14:paraId="1DC4C51A" w14:textId="77777777" w:rsidR="00A74E98" w:rsidRPr="00A74E98" w:rsidRDefault="00A74E98" w:rsidP="00A74E98">
      <w:pPr>
        <w:spacing w:after="0"/>
        <w:rPr>
          <w:rFonts w:ascii="Century Gothic" w:hAnsi="Century Gothic"/>
        </w:rPr>
      </w:pPr>
    </w:p>
    <w:p w14:paraId="20CA3876" w14:textId="0DA09E48" w:rsidR="00A74E98" w:rsidRDefault="00A74E98" w:rsidP="00A74E98">
      <w:pPr>
        <w:spacing w:after="0"/>
        <w:rPr>
          <w:rFonts w:ascii="Century Gothic" w:hAnsi="Century Gothic"/>
          <w:b/>
          <w:bCs/>
        </w:rPr>
      </w:pPr>
      <w:r w:rsidRPr="00A74E98">
        <w:rPr>
          <w:rFonts w:ascii="Century Gothic" w:hAnsi="Century Gothic"/>
          <w:b/>
          <w:bCs/>
        </w:rPr>
        <w:t>Initial Treatment:</w:t>
      </w:r>
    </w:p>
    <w:p w14:paraId="65E4F397" w14:textId="77777777" w:rsidR="00A74E98" w:rsidRPr="00A74E98" w:rsidRDefault="00A74E98" w:rsidP="00A74E98">
      <w:pPr>
        <w:spacing w:after="0"/>
        <w:rPr>
          <w:rFonts w:ascii="Century Gothic" w:hAnsi="Century Gothic"/>
          <w:b/>
          <w:bCs/>
        </w:rPr>
      </w:pPr>
    </w:p>
    <w:p w14:paraId="08E4BB52" w14:textId="41231DD8" w:rsidR="00A74E98" w:rsidRPr="00A74E98" w:rsidRDefault="00A74E98" w:rsidP="00A74E98">
      <w:pPr>
        <w:pStyle w:val="ListParagraph"/>
        <w:numPr>
          <w:ilvl w:val="0"/>
          <w:numId w:val="13"/>
        </w:numPr>
        <w:spacing w:after="0"/>
        <w:rPr>
          <w:rFonts w:ascii="Century Gothic" w:hAnsi="Century Gothic"/>
        </w:rPr>
      </w:pPr>
      <w:r w:rsidRPr="00A74E98">
        <w:rPr>
          <w:rFonts w:ascii="Century Gothic" w:hAnsi="Century Gothic"/>
        </w:rPr>
        <w:t>Psychotherapy and/or Pharmacotherapy</w:t>
      </w:r>
    </w:p>
    <w:p w14:paraId="49F2F1F6" w14:textId="661876A0" w:rsidR="00A74E98" w:rsidRPr="00A74E98" w:rsidRDefault="00A74E98" w:rsidP="00A74E98">
      <w:pPr>
        <w:pStyle w:val="ListParagraph"/>
        <w:numPr>
          <w:ilvl w:val="0"/>
          <w:numId w:val="13"/>
        </w:numPr>
        <w:spacing w:after="0"/>
        <w:rPr>
          <w:rFonts w:ascii="Century Gothic" w:hAnsi="Century Gothic"/>
        </w:rPr>
      </w:pPr>
      <w:r w:rsidRPr="00A74E98">
        <w:rPr>
          <w:rFonts w:ascii="Century Gothic" w:hAnsi="Century Gothic"/>
        </w:rPr>
        <w:t>Other somatic therapies including Electroconvulsive Therapy (ECT) for individuals with severe major depressive disorder that is not responsive to pharmacological or psychotherapeutic interventions</w:t>
      </w:r>
    </w:p>
    <w:p w14:paraId="0839348D" w14:textId="77777777" w:rsidR="00A74E98" w:rsidRPr="00A74E98" w:rsidRDefault="00A74E98" w:rsidP="00A74E98">
      <w:pPr>
        <w:spacing w:after="0"/>
        <w:rPr>
          <w:rFonts w:ascii="Century Gothic" w:hAnsi="Century Gothic"/>
        </w:rPr>
      </w:pPr>
    </w:p>
    <w:p w14:paraId="15A1B1F5" w14:textId="6930BBC7" w:rsidR="00A74E98" w:rsidRPr="00A74E98" w:rsidRDefault="00A74E98" w:rsidP="00A74E98">
      <w:pPr>
        <w:spacing w:after="0"/>
        <w:rPr>
          <w:rFonts w:ascii="Century Gothic" w:hAnsi="Century Gothic"/>
          <w:b/>
          <w:bCs/>
        </w:rPr>
      </w:pPr>
      <w:r w:rsidRPr="00A74E98">
        <w:rPr>
          <w:rFonts w:ascii="Century Gothic" w:hAnsi="Century Gothic"/>
          <w:b/>
          <w:bCs/>
        </w:rPr>
        <w:t>Evaluating Response to Treatment</w:t>
      </w:r>
      <w:r>
        <w:rPr>
          <w:rFonts w:ascii="Century Gothic" w:hAnsi="Century Gothic"/>
          <w:b/>
          <w:bCs/>
        </w:rPr>
        <w:br/>
      </w:r>
    </w:p>
    <w:p w14:paraId="7734C856" w14:textId="234E2883" w:rsidR="00A74E98" w:rsidRPr="00A74E98" w:rsidRDefault="00A74E98" w:rsidP="00A74E98">
      <w:pPr>
        <w:pStyle w:val="ListParagraph"/>
        <w:numPr>
          <w:ilvl w:val="0"/>
          <w:numId w:val="15"/>
        </w:numPr>
        <w:spacing w:after="0"/>
        <w:rPr>
          <w:rFonts w:ascii="Century Gothic" w:hAnsi="Century Gothic"/>
        </w:rPr>
      </w:pPr>
      <w:r w:rsidRPr="00A74E98">
        <w:rPr>
          <w:rFonts w:ascii="Century Gothic" w:hAnsi="Century Gothic"/>
        </w:rPr>
        <w:t>Addressing inadequate response</w:t>
      </w:r>
    </w:p>
    <w:p w14:paraId="3EF67E42" w14:textId="076A1B50" w:rsidR="00A74E98" w:rsidRPr="00A74E98" w:rsidRDefault="00A74E98" w:rsidP="00A74E98">
      <w:pPr>
        <w:pStyle w:val="ListParagraph"/>
        <w:numPr>
          <w:ilvl w:val="0"/>
          <w:numId w:val="15"/>
        </w:numPr>
        <w:spacing w:after="0"/>
        <w:rPr>
          <w:rFonts w:ascii="Century Gothic" w:hAnsi="Century Gothic"/>
        </w:rPr>
      </w:pPr>
      <w:r w:rsidRPr="00A74E98">
        <w:rPr>
          <w:rFonts w:ascii="Century Gothic" w:hAnsi="Century Gothic"/>
        </w:rPr>
        <w:t>Changing to other treatments</w:t>
      </w:r>
    </w:p>
    <w:p w14:paraId="11567CED" w14:textId="5B13E058" w:rsidR="00A74E98" w:rsidRPr="00A74E98" w:rsidRDefault="00A74E98" w:rsidP="00A74E98">
      <w:pPr>
        <w:pStyle w:val="ListParagraph"/>
        <w:numPr>
          <w:ilvl w:val="0"/>
          <w:numId w:val="15"/>
        </w:numPr>
        <w:spacing w:after="0"/>
        <w:rPr>
          <w:rFonts w:ascii="Century Gothic" w:hAnsi="Century Gothic"/>
        </w:rPr>
      </w:pPr>
      <w:r w:rsidRPr="00A74E98">
        <w:rPr>
          <w:rFonts w:ascii="Century Gothic" w:hAnsi="Century Gothic"/>
        </w:rPr>
        <w:t>Augmenting and combining treatments</w:t>
      </w:r>
    </w:p>
    <w:p w14:paraId="3E03467F" w14:textId="229ABE3E" w:rsidR="00A74E98" w:rsidRPr="00A74E98" w:rsidRDefault="00A74E98" w:rsidP="00A74E98">
      <w:pPr>
        <w:pStyle w:val="ListParagraph"/>
        <w:numPr>
          <w:ilvl w:val="0"/>
          <w:numId w:val="15"/>
        </w:numPr>
        <w:spacing w:after="0"/>
        <w:rPr>
          <w:rFonts w:ascii="Century Gothic" w:hAnsi="Century Gothic"/>
        </w:rPr>
      </w:pPr>
      <w:r w:rsidRPr="00A74E98">
        <w:rPr>
          <w:rFonts w:ascii="Century Gothic" w:hAnsi="Century Gothic"/>
        </w:rPr>
        <w:t>Treatment-Resistant Depression</w:t>
      </w:r>
    </w:p>
    <w:p w14:paraId="1EB44B08" w14:textId="77777777" w:rsidR="00A74E98" w:rsidRPr="00A74E98" w:rsidRDefault="00A74E98" w:rsidP="00A74E98">
      <w:pPr>
        <w:spacing w:after="0"/>
        <w:rPr>
          <w:rFonts w:ascii="Century Gothic" w:hAnsi="Century Gothic"/>
        </w:rPr>
      </w:pPr>
    </w:p>
    <w:p w14:paraId="05AF4408" w14:textId="641087A5" w:rsidR="00A74E98" w:rsidRPr="00A74E98" w:rsidRDefault="00A74E98" w:rsidP="00A74E98">
      <w:pPr>
        <w:spacing w:after="0"/>
        <w:rPr>
          <w:rFonts w:ascii="Century Gothic" w:hAnsi="Century Gothic"/>
          <w:b/>
          <w:bCs/>
        </w:rPr>
      </w:pPr>
      <w:r w:rsidRPr="00A74E98">
        <w:rPr>
          <w:rFonts w:ascii="Century Gothic" w:hAnsi="Century Gothic"/>
          <w:b/>
          <w:bCs/>
        </w:rPr>
        <w:t>Continuation Phase of Treatment</w:t>
      </w:r>
      <w:r>
        <w:rPr>
          <w:rFonts w:ascii="Century Gothic" w:hAnsi="Century Gothic"/>
          <w:b/>
          <w:bCs/>
        </w:rPr>
        <w:br/>
      </w:r>
    </w:p>
    <w:p w14:paraId="2FD19D61" w14:textId="0C34E1A1" w:rsidR="00A74E98" w:rsidRPr="00A74E98" w:rsidRDefault="00A74E98" w:rsidP="00A74E98">
      <w:pPr>
        <w:pStyle w:val="ListParagraph"/>
        <w:numPr>
          <w:ilvl w:val="0"/>
          <w:numId w:val="15"/>
        </w:numPr>
        <w:spacing w:after="0"/>
        <w:rPr>
          <w:rFonts w:ascii="Century Gothic" w:hAnsi="Century Gothic"/>
        </w:rPr>
      </w:pPr>
      <w:r w:rsidRPr="00A74E98">
        <w:rPr>
          <w:rFonts w:ascii="Century Gothic" w:hAnsi="Century Gothic"/>
        </w:rPr>
        <w:t>To reduce the high risk of relapse, continue treatment</w:t>
      </w:r>
    </w:p>
    <w:p w14:paraId="178F6E1A" w14:textId="42EF5FBB" w:rsidR="00A74E98" w:rsidRPr="00A74E98" w:rsidRDefault="00A74E98" w:rsidP="00A74E98">
      <w:pPr>
        <w:pStyle w:val="ListParagraph"/>
        <w:numPr>
          <w:ilvl w:val="0"/>
          <w:numId w:val="15"/>
        </w:numPr>
        <w:spacing w:after="0"/>
        <w:rPr>
          <w:rFonts w:ascii="Century Gothic" w:hAnsi="Century Gothic"/>
        </w:rPr>
      </w:pPr>
      <w:r w:rsidRPr="00A74E98">
        <w:rPr>
          <w:rFonts w:ascii="Century Gothic" w:hAnsi="Century Gothic"/>
        </w:rPr>
        <w:t>Monitor for signs of relapse</w:t>
      </w:r>
    </w:p>
    <w:p w14:paraId="747FA971" w14:textId="64E6394F" w:rsidR="00A74E98" w:rsidRPr="00A74E98" w:rsidRDefault="00A74E98" w:rsidP="00A74E98">
      <w:pPr>
        <w:pStyle w:val="ListParagraph"/>
        <w:numPr>
          <w:ilvl w:val="0"/>
          <w:numId w:val="15"/>
        </w:numPr>
        <w:spacing w:after="0"/>
        <w:rPr>
          <w:rFonts w:ascii="Century Gothic" w:hAnsi="Century Gothic"/>
        </w:rPr>
      </w:pPr>
      <w:r w:rsidRPr="00A74E98">
        <w:rPr>
          <w:rFonts w:ascii="Century Gothic" w:hAnsi="Century Gothic"/>
        </w:rPr>
        <w:t>Determine if the patient requires maintenance treatment</w:t>
      </w:r>
    </w:p>
    <w:p w14:paraId="609457A0" w14:textId="24A7F599" w:rsidR="00A74E98" w:rsidRPr="00A74E98" w:rsidRDefault="00A74E98" w:rsidP="00A74E98">
      <w:pPr>
        <w:pStyle w:val="ListParagraph"/>
        <w:numPr>
          <w:ilvl w:val="0"/>
          <w:numId w:val="15"/>
        </w:numPr>
        <w:spacing w:after="0"/>
        <w:rPr>
          <w:rFonts w:ascii="Century Gothic" w:hAnsi="Century Gothic"/>
        </w:rPr>
      </w:pPr>
      <w:r w:rsidRPr="00A74E98">
        <w:rPr>
          <w:rFonts w:ascii="Century Gothic" w:hAnsi="Century Gothic"/>
        </w:rPr>
        <w:t>Provide maintenance treatment as needed</w:t>
      </w:r>
    </w:p>
    <w:p w14:paraId="35F26D77" w14:textId="7B9DA091" w:rsidR="00A74E98" w:rsidRPr="00A74E98" w:rsidRDefault="00A74E98" w:rsidP="00A74E98">
      <w:pPr>
        <w:pStyle w:val="ListParagraph"/>
        <w:numPr>
          <w:ilvl w:val="0"/>
          <w:numId w:val="15"/>
        </w:numPr>
        <w:spacing w:after="0"/>
        <w:rPr>
          <w:rFonts w:ascii="Century Gothic" w:hAnsi="Century Gothic"/>
        </w:rPr>
      </w:pPr>
      <w:r w:rsidRPr="00A74E98">
        <w:rPr>
          <w:rFonts w:ascii="Century Gothic" w:hAnsi="Century Gothic"/>
        </w:rPr>
        <w:lastRenderedPageBreak/>
        <w:t>Continue to monitor the patient</w:t>
      </w:r>
    </w:p>
    <w:p w14:paraId="305E4DFD" w14:textId="77777777" w:rsidR="00A74E98" w:rsidRPr="00A74E98" w:rsidRDefault="00A74E98" w:rsidP="00A74E98">
      <w:pPr>
        <w:spacing w:after="0"/>
        <w:rPr>
          <w:rFonts w:ascii="Century Gothic" w:hAnsi="Century Gothic"/>
        </w:rPr>
      </w:pPr>
      <w:r w:rsidRPr="00A74E98">
        <w:rPr>
          <w:rFonts w:ascii="Century Gothic" w:hAnsi="Century Gothic"/>
        </w:rPr>
        <w:t xml:space="preserve"> </w:t>
      </w:r>
    </w:p>
    <w:p w14:paraId="2CE2C1FF" w14:textId="3AE0FB2C" w:rsidR="00A74E98" w:rsidRPr="00A74E98" w:rsidRDefault="00A74E98" w:rsidP="00A74E98">
      <w:pPr>
        <w:spacing w:after="0"/>
        <w:rPr>
          <w:rFonts w:ascii="Century Gothic" w:hAnsi="Century Gothic"/>
          <w:b/>
          <w:bCs/>
        </w:rPr>
      </w:pPr>
      <w:r w:rsidRPr="00A74E98">
        <w:rPr>
          <w:rFonts w:ascii="Century Gothic" w:hAnsi="Century Gothic"/>
          <w:b/>
          <w:bCs/>
        </w:rPr>
        <w:t>Discontinuation of Treatment</w:t>
      </w:r>
      <w:r>
        <w:rPr>
          <w:rFonts w:ascii="Century Gothic" w:hAnsi="Century Gothic"/>
          <w:b/>
          <w:bCs/>
        </w:rPr>
        <w:br/>
      </w:r>
    </w:p>
    <w:p w14:paraId="12391A5F" w14:textId="6538A2F0" w:rsidR="00A74E98" w:rsidRPr="00A74E98" w:rsidRDefault="00A74E98" w:rsidP="00A74E98">
      <w:pPr>
        <w:pStyle w:val="ListParagraph"/>
        <w:numPr>
          <w:ilvl w:val="0"/>
          <w:numId w:val="15"/>
        </w:numPr>
        <w:spacing w:after="0"/>
        <w:rPr>
          <w:rFonts w:ascii="Century Gothic" w:hAnsi="Century Gothic"/>
        </w:rPr>
      </w:pPr>
      <w:r w:rsidRPr="00A74E98">
        <w:rPr>
          <w:rFonts w:ascii="Century Gothic" w:hAnsi="Century Gothic"/>
        </w:rPr>
        <w:t>For stable patients, consider discontinuation of treatment</w:t>
      </w:r>
    </w:p>
    <w:p w14:paraId="33B573F9" w14:textId="1CF2E2BF" w:rsidR="00A74E98" w:rsidRPr="00A74E98" w:rsidRDefault="00A74E98" w:rsidP="00A74E98">
      <w:pPr>
        <w:pStyle w:val="ListParagraph"/>
        <w:numPr>
          <w:ilvl w:val="0"/>
          <w:numId w:val="15"/>
        </w:numPr>
        <w:spacing w:after="0"/>
        <w:rPr>
          <w:rFonts w:ascii="Century Gothic" w:hAnsi="Century Gothic"/>
        </w:rPr>
      </w:pPr>
      <w:r w:rsidRPr="00A74E98">
        <w:rPr>
          <w:rFonts w:ascii="Century Gothic" w:hAnsi="Century Gothic"/>
        </w:rPr>
        <w:t>If pharmacotherapy is discontinued, taper the medication over at least several weeks</w:t>
      </w:r>
    </w:p>
    <w:p w14:paraId="532ED98B" w14:textId="77777777" w:rsidR="00A74E98" w:rsidRPr="00A74E98" w:rsidRDefault="00A74E98" w:rsidP="00A74E98">
      <w:pPr>
        <w:spacing w:after="0"/>
        <w:rPr>
          <w:rFonts w:ascii="Century Gothic" w:hAnsi="Century Gothic"/>
        </w:rPr>
      </w:pPr>
    </w:p>
    <w:p w14:paraId="475C8B47" w14:textId="7CFAC192" w:rsidR="00A74E98" w:rsidRPr="00A74E98" w:rsidRDefault="00A74E98" w:rsidP="00A74E98">
      <w:pPr>
        <w:spacing w:after="0"/>
        <w:rPr>
          <w:rFonts w:ascii="Century Gothic" w:hAnsi="Century Gothic"/>
          <w:b/>
          <w:bCs/>
        </w:rPr>
      </w:pPr>
      <w:r w:rsidRPr="00A74E98">
        <w:rPr>
          <w:rFonts w:ascii="Century Gothic" w:hAnsi="Century Gothic"/>
          <w:b/>
          <w:bCs/>
        </w:rPr>
        <w:t>Proposed Quality Measures</w:t>
      </w:r>
      <w:r>
        <w:rPr>
          <w:rFonts w:ascii="Century Gothic" w:hAnsi="Century Gothic"/>
          <w:b/>
          <w:bCs/>
        </w:rPr>
        <w:br/>
      </w:r>
    </w:p>
    <w:p w14:paraId="4457FE35" w14:textId="641F9726" w:rsidR="00A74E98" w:rsidRPr="00A74E98" w:rsidRDefault="00A74E98" w:rsidP="00A74E98">
      <w:pPr>
        <w:pStyle w:val="ListParagraph"/>
        <w:numPr>
          <w:ilvl w:val="0"/>
          <w:numId w:val="18"/>
        </w:numPr>
        <w:spacing w:after="0"/>
        <w:rPr>
          <w:rFonts w:ascii="Century Gothic" w:hAnsi="Century Gothic"/>
        </w:rPr>
      </w:pPr>
      <w:r w:rsidRPr="00A74E98">
        <w:rPr>
          <w:rFonts w:ascii="Century Gothic" w:hAnsi="Century Gothic"/>
        </w:rPr>
        <w:t>An antidepressant medication is being used or there is documentation that it was considered with the rationale for not prescribing</w:t>
      </w:r>
    </w:p>
    <w:p w14:paraId="7EC001CE" w14:textId="2DE7AD51" w:rsidR="00A74E98" w:rsidRPr="00A74E98" w:rsidRDefault="00A74E98" w:rsidP="00A74E98">
      <w:pPr>
        <w:pStyle w:val="ListParagraph"/>
        <w:numPr>
          <w:ilvl w:val="0"/>
          <w:numId w:val="18"/>
        </w:numPr>
        <w:spacing w:after="0"/>
        <w:rPr>
          <w:rFonts w:ascii="Century Gothic" w:hAnsi="Century Gothic"/>
        </w:rPr>
      </w:pPr>
      <w:r w:rsidRPr="00A74E98">
        <w:rPr>
          <w:rFonts w:ascii="Century Gothic" w:hAnsi="Century Gothic"/>
        </w:rPr>
        <w:t>Some form of psychotherapy is being used or there is documentation that it was considered with a rationale for why it is not being offered</w:t>
      </w:r>
    </w:p>
    <w:p w14:paraId="271231C6" w14:textId="77777777" w:rsidR="00A74E98" w:rsidRPr="00A74E98" w:rsidRDefault="00A74E98" w:rsidP="00A74E98">
      <w:pPr>
        <w:spacing w:after="0"/>
        <w:rPr>
          <w:rFonts w:ascii="Century Gothic" w:hAnsi="Century Gothic"/>
        </w:rPr>
      </w:pPr>
    </w:p>
    <w:p w14:paraId="000C4F2D" w14:textId="111C1267" w:rsidR="00A74E98" w:rsidRPr="00A74E98" w:rsidRDefault="00A74E98" w:rsidP="00A74E98">
      <w:pPr>
        <w:spacing w:after="0"/>
        <w:rPr>
          <w:rFonts w:ascii="Century Gothic" w:hAnsi="Century Gothic"/>
          <w:b/>
          <w:bCs/>
        </w:rPr>
      </w:pPr>
      <w:r w:rsidRPr="00A74E98">
        <w:rPr>
          <w:rFonts w:ascii="Century Gothic" w:hAnsi="Century Gothic"/>
          <w:b/>
          <w:bCs/>
        </w:rPr>
        <w:t>Resources:</w:t>
      </w:r>
      <w:r>
        <w:rPr>
          <w:rFonts w:ascii="Century Gothic" w:hAnsi="Century Gothic"/>
          <w:b/>
          <w:bCs/>
        </w:rPr>
        <w:br/>
      </w:r>
    </w:p>
    <w:p w14:paraId="6B402761" w14:textId="1AC2CC8F" w:rsidR="0010147A" w:rsidRPr="00A74E98" w:rsidRDefault="00A74E98" w:rsidP="00A74E98">
      <w:pPr>
        <w:pStyle w:val="ListParagraph"/>
        <w:numPr>
          <w:ilvl w:val="0"/>
          <w:numId w:val="20"/>
        </w:numPr>
        <w:spacing w:after="0"/>
        <w:rPr>
          <w:rFonts w:ascii="Century Gothic" w:hAnsi="Century Gothic"/>
        </w:rPr>
      </w:pPr>
      <w:r w:rsidRPr="00A74E98">
        <w:rPr>
          <w:rFonts w:ascii="Century Gothic" w:hAnsi="Century Gothic"/>
        </w:rPr>
        <w:t>Practice Guidelines for the Treatment of Patients with Major Depressive Disorder. American Psychiatric Association, 2010, Third Edition</w:t>
      </w:r>
    </w:p>
    <w:sectPr w:rsidR="0010147A" w:rsidRPr="00A74E9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15139" w14:textId="77777777" w:rsidR="00A74E98" w:rsidRDefault="00A74E98" w:rsidP="00A74E98">
      <w:pPr>
        <w:spacing w:after="0" w:line="240" w:lineRule="auto"/>
      </w:pPr>
      <w:r>
        <w:separator/>
      </w:r>
    </w:p>
  </w:endnote>
  <w:endnote w:type="continuationSeparator" w:id="0">
    <w:p w14:paraId="27521D1C" w14:textId="77777777" w:rsidR="00A74E98" w:rsidRDefault="00A74E98" w:rsidP="00A7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933D2" w14:textId="77777777" w:rsidR="00A74E98" w:rsidRDefault="00A74E98" w:rsidP="00A74E98">
      <w:pPr>
        <w:spacing w:after="0" w:line="240" w:lineRule="auto"/>
      </w:pPr>
      <w:r>
        <w:separator/>
      </w:r>
    </w:p>
  </w:footnote>
  <w:footnote w:type="continuationSeparator" w:id="0">
    <w:p w14:paraId="7572240B" w14:textId="77777777" w:rsidR="00A74E98" w:rsidRDefault="00A74E98" w:rsidP="00A74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8E57" w14:textId="522E29AB" w:rsidR="00A74E98" w:rsidRDefault="00A74E98">
    <w:pPr>
      <w:pStyle w:val="Header"/>
    </w:pPr>
    <w:r>
      <w:rPr>
        <w:noProof/>
      </w:rPr>
      <w:drawing>
        <wp:anchor distT="0" distB="0" distL="114300" distR="114300" simplePos="0" relativeHeight="251659264" behindDoc="1" locked="0" layoutInCell="1" allowOverlap="1" wp14:anchorId="5001791C" wp14:editId="011C5A66">
          <wp:simplePos x="0" y="0"/>
          <wp:positionH relativeFrom="margin">
            <wp:align>center</wp:align>
          </wp:positionH>
          <wp:positionV relativeFrom="paragraph">
            <wp:posOffset>-257175</wp:posOffset>
          </wp:positionV>
          <wp:extent cx="1879795" cy="714244"/>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0256" t="34455" r="12981" b="29087"/>
                  <a:stretch/>
                </pic:blipFill>
                <pic:spPr bwMode="auto">
                  <a:xfrm>
                    <a:off x="0" y="0"/>
                    <a:ext cx="1879795" cy="7142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7CE"/>
    <w:multiLevelType w:val="hybridMultilevel"/>
    <w:tmpl w:val="B484AE66"/>
    <w:lvl w:ilvl="0" w:tplc="D85CD1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40762"/>
    <w:multiLevelType w:val="hybridMultilevel"/>
    <w:tmpl w:val="E75076B6"/>
    <w:lvl w:ilvl="0" w:tplc="89FCE8CE">
      <w:start w:val="12"/>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43BCB"/>
    <w:multiLevelType w:val="hybridMultilevel"/>
    <w:tmpl w:val="5BE2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76574"/>
    <w:multiLevelType w:val="hybridMultilevel"/>
    <w:tmpl w:val="DAC2ED72"/>
    <w:lvl w:ilvl="0" w:tplc="89FCE8CE">
      <w:start w:val="12"/>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832D5"/>
    <w:multiLevelType w:val="hybridMultilevel"/>
    <w:tmpl w:val="A7C0E88E"/>
    <w:lvl w:ilvl="0" w:tplc="89FCE8CE">
      <w:start w:val="12"/>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50BE0"/>
    <w:multiLevelType w:val="hybridMultilevel"/>
    <w:tmpl w:val="9116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735E5"/>
    <w:multiLevelType w:val="hybridMultilevel"/>
    <w:tmpl w:val="8F3E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C730A"/>
    <w:multiLevelType w:val="hybridMultilevel"/>
    <w:tmpl w:val="261A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64EFB"/>
    <w:multiLevelType w:val="hybridMultilevel"/>
    <w:tmpl w:val="00EE1BCC"/>
    <w:lvl w:ilvl="0" w:tplc="D85CD1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F435A"/>
    <w:multiLevelType w:val="hybridMultilevel"/>
    <w:tmpl w:val="3002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D0F92"/>
    <w:multiLevelType w:val="hybridMultilevel"/>
    <w:tmpl w:val="01B02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7272A"/>
    <w:multiLevelType w:val="hybridMultilevel"/>
    <w:tmpl w:val="807E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B357B"/>
    <w:multiLevelType w:val="hybridMultilevel"/>
    <w:tmpl w:val="B768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06FD3"/>
    <w:multiLevelType w:val="hybridMultilevel"/>
    <w:tmpl w:val="8498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C301F"/>
    <w:multiLevelType w:val="hybridMultilevel"/>
    <w:tmpl w:val="A352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F0549"/>
    <w:multiLevelType w:val="hybridMultilevel"/>
    <w:tmpl w:val="D056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36879"/>
    <w:multiLevelType w:val="hybridMultilevel"/>
    <w:tmpl w:val="57F61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B0660"/>
    <w:multiLevelType w:val="hybridMultilevel"/>
    <w:tmpl w:val="90F0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31223"/>
    <w:multiLevelType w:val="hybridMultilevel"/>
    <w:tmpl w:val="0D80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7E092F"/>
    <w:multiLevelType w:val="hybridMultilevel"/>
    <w:tmpl w:val="1D2C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9"/>
  </w:num>
  <w:num w:numId="4">
    <w:abstractNumId w:val="14"/>
  </w:num>
  <w:num w:numId="5">
    <w:abstractNumId w:val="7"/>
  </w:num>
  <w:num w:numId="6">
    <w:abstractNumId w:val="9"/>
  </w:num>
  <w:num w:numId="7">
    <w:abstractNumId w:val="15"/>
  </w:num>
  <w:num w:numId="8">
    <w:abstractNumId w:val="5"/>
  </w:num>
  <w:num w:numId="9">
    <w:abstractNumId w:val="2"/>
  </w:num>
  <w:num w:numId="10">
    <w:abstractNumId w:val="11"/>
  </w:num>
  <w:num w:numId="11">
    <w:abstractNumId w:val="16"/>
  </w:num>
  <w:num w:numId="12">
    <w:abstractNumId w:val="12"/>
  </w:num>
  <w:num w:numId="13">
    <w:abstractNumId w:val="13"/>
  </w:num>
  <w:num w:numId="14">
    <w:abstractNumId w:val="6"/>
  </w:num>
  <w:num w:numId="15">
    <w:abstractNumId w:val="1"/>
  </w:num>
  <w:num w:numId="16">
    <w:abstractNumId w:val="4"/>
  </w:num>
  <w:num w:numId="17">
    <w:abstractNumId w:val="3"/>
  </w:num>
  <w:num w:numId="18">
    <w:abstractNumId w:val="8"/>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98"/>
    <w:rsid w:val="0010147A"/>
    <w:rsid w:val="00A7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824AB"/>
  <w15:chartTrackingRefBased/>
  <w15:docId w15:val="{D386B165-8006-4116-A03C-9B6F8185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4E98"/>
    <w:pPr>
      <w:widowControl w:val="0"/>
      <w:autoSpaceDE w:val="0"/>
      <w:autoSpaceDN w:val="0"/>
      <w:spacing w:after="0" w:line="240" w:lineRule="auto"/>
      <w:ind w:left="400"/>
      <w:outlineLvl w:val="0"/>
    </w:pPr>
    <w:rPr>
      <w:rFonts w:ascii="Century Gothic" w:eastAsia="Century Gothic" w:hAnsi="Century Gothic" w:cs="Century Gothic"/>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E98"/>
    <w:rPr>
      <w:rFonts w:ascii="Century Gothic" w:eastAsia="Century Gothic" w:hAnsi="Century Gothic" w:cs="Century Gothic"/>
      <w:b/>
      <w:bCs/>
      <w:lang w:bidi="en-US"/>
    </w:rPr>
  </w:style>
  <w:style w:type="paragraph" w:styleId="ListParagraph">
    <w:name w:val="List Paragraph"/>
    <w:basedOn w:val="Normal"/>
    <w:uiPriority w:val="34"/>
    <w:qFormat/>
    <w:rsid w:val="00A74E98"/>
    <w:pPr>
      <w:ind w:left="720"/>
      <w:contextualSpacing/>
    </w:pPr>
  </w:style>
  <w:style w:type="character" w:styleId="Hyperlink">
    <w:name w:val="Hyperlink"/>
    <w:basedOn w:val="DefaultParagraphFont"/>
    <w:uiPriority w:val="99"/>
    <w:unhideWhenUsed/>
    <w:rsid w:val="00A74E98"/>
    <w:rPr>
      <w:color w:val="0563C1" w:themeColor="hyperlink"/>
      <w:u w:val="single"/>
    </w:rPr>
  </w:style>
  <w:style w:type="character" w:styleId="UnresolvedMention">
    <w:name w:val="Unresolved Mention"/>
    <w:basedOn w:val="DefaultParagraphFont"/>
    <w:uiPriority w:val="99"/>
    <w:semiHidden/>
    <w:unhideWhenUsed/>
    <w:rsid w:val="00A74E98"/>
    <w:rPr>
      <w:color w:val="605E5C"/>
      <w:shd w:val="clear" w:color="auto" w:fill="E1DFDD"/>
    </w:rPr>
  </w:style>
  <w:style w:type="paragraph" w:styleId="Header">
    <w:name w:val="header"/>
    <w:basedOn w:val="Normal"/>
    <w:link w:val="HeaderChar"/>
    <w:uiPriority w:val="99"/>
    <w:unhideWhenUsed/>
    <w:rsid w:val="00A74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E98"/>
  </w:style>
  <w:style w:type="paragraph" w:styleId="Footer">
    <w:name w:val="footer"/>
    <w:basedOn w:val="Normal"/>
    <w:link w:val="FooterChar"/>
    <w:uiPriority w:val="99"/>
    <w:unhideWhenUsed/>
    <w:rsid w:val="00A74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m.org/Quality-Science/quality/npg/pocket-guide-and-ap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bi.nlm.nih.gov/pmc/articles/PMC3678283/" TargetMode="External"/><Relationship Id="rId12" Type="http://schemas.openxmlformats.org/officeDocument/2006/relationships/hyperlink" Target="https://macmhb.org/sites/default/files/attachments/files/Waller%20-%20Opioid%20Tx%20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bhpartners.com/providers/guidelines/SUD-Clinical-Guidelin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ealthquality.va.gov/guidelines/MH/sud/VADoDSUDCPGRevised22216.pdf" TargetMode="External"/><Relationship Id="rId4" Type="http://schemas.openxmlformats.org/officeDocument/2006/relationships/webSettings" Target="webSettings.xml"/><Relationship Id="rId9" Type="http://schemas.openxmlformats.org/officeDocument/2006/relationships/hyperlink" Target="http://psychiatryonline.org/pb/assets/raw/sitewide/practice_guidelines/guidelines/subs%20tanceus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1447</Words>
  <Characters>8250</Characters>
  <Application>Microsoft Office Word</Application>
  <DocSecurity>0</DocSecurity>
  <Lines>68</Lines>
  <Paragraphs>19</Paragraphs>
  <ScaleCrop>false</ScaleCrop>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Stimson</dc:creator>
  <cp:keywords/>
  <dc:description/>
  <cp:lastModifiedBy>Cameron Stimson</cp:lastModifiedBy>
  <cp:revision>1</cp:revision>
  <dcterms:created xsi:type="dcterms:W3CDTF">2020-03-17T18:02:00Z</dcterms:created>
  <dcterms:modified xsi:type="dcterms:W3CDTF">2020-03-17T18:15:00Z</dcterms:modified>
</cp:coreProperties>
</file>